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E45" w:rsidRDefault="00283E45" w:rsidP="00283E45">
      <w:pPr>
        <w:topLinePunct/>
        <w:spacing w:line="62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关于加强排水</w:t>
      </w:r>
      <w:proofErr w:type="gramStart"/>
      <w:r>
        <w:rPr>
          <w:rFonts w:ascii="方正小标宋_GBK" w:eastAsia="方正小标宋_GBK" w:hAnsi="方正小标宋_GBK" w:cs="方正小标宋_GBK" w:hint="eastAsia"/>
          <w:sz w:val="44"/>
          <w:szCs w:val="44"/>
        </w:rPr>
        <w:t>户内部雨</w:t>
      </w:r>
      <w:proofErr w:type="gramEnd"/>
      <w:r>
        <w:rPr>
          <w:rFonts w:ascii="方正小标宋_GBK" w:eastAsia="方正小标宋_GBK" w:hAnsi="方正小标宋_GBK" w:cs="方正小标宋_GBK" w:hint="eastAsia"/>
          <w:sz w:val="44"/>
          <w:szCs w:val="44"/>
        </w:rPr>
        <w:t>污分流工程监管</w:t>
      </w:r>
    </w:p>
    <w:p w:rsidR="00283E45" w:rsidRDefault="00283E45" w:rsidP="00283E45">
      <w:pPr>
        <w:topLinePunct/>
        <w:spacing w:line="62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工作的通知</w:t>
      </w:r>
    </w:p>
    <w:p w:rsidR="00292B4B" w:rsidRDefault="00292B4B" w:rsidP="00292B4B">
      <w:pPr>
        <w:pStyle w:val="a5"/>
        <w:widowControl/>
        <w:topLinePunct/>
        <w:spacing w:before="0" w:beforeAutospacing="0" w:after="0" w:afterAutospacing="0" w:line="560" w:lineRule="exact"/>
        <w:jc w:val="both"/>
        <w:textAlignment w:val="baseline"/>
        <w:rPr>
          <w:rFonts w:ascii="仿宋_GB2312" w:eastAsia="仿宋_GB2312" w:hAnsi="仿宋_GB2312" w:cs="仿宋_GB2312" w:hint="eastAsia"/>
          <w:sz w:val="32"/>
          <w:szCs w:val="32"/>
          <w:lang w:bidi="ar"/>
        </w:rPr>
      </w:pPr>
    </w:p>
    <w:p w:rsidR="00283E45" w:rsidRDefault="00283E45" w:rsidP="00292B4B">
      <w:pPr>
        <w:pStyle w:val="a5"/>
        <w:widowControl/>
        <w:topLinePunct/>
        <w:spacing w:before="0" w:beforeAutospacing="0" w:after="0" w:afterAutospacing="0" w:line="560" w:lineRule="exact"/>
        <w:jc w:val="both"/>
        <w:textAlignment w:val="baseline"/>
        <w:rPr>
          <w:rFonts w:ascii="仿宋_GB2312" w:eastAsia="仿宋_GB2312" w:hAnsi="仿宋_GB2312" w:cs="仿宋_GB2312"/>
          <w:sz w:val="32"/>
          <w:szCs w:val="32"/>
          <w:lang w:bidi="ar"/>
        </w:rPr>
      </w:pPr>
      <w:bookmarkStart w:id="0" w:name="_GoBack"/>
      <w:bookmarkEnd w:id="0"/>
      <w:r>
        <w:rPr>
          <w:rFonts w:ascii="仿宋_GB2312" w:eastAsia="仿宋_GB2312" w:hAnsi="仿宋_GB2312" w:cs="仿宋_GB2312" w:hint="eastAsia"/>
          <w:sz w:val="32"/>
          <w:szCs w:val="32"/>
          <w:lang w:bidi="ar"/>
        </w:rPr>
        <w:t>各有关单位：</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根据市政府下发的《加强全市城乡生活污水治理工作实施意见》（吴政发〔</w:t>
      </w:r>
      <w:r>
        <w:rPr>
          <w:rFonts w:ascii="仿宋_GB2312" w:eastAsia="仿宋_GB2312" w:hAnsi="仿宋_GB2312" w:cs="仿宋_GB2312"/>
          <w:sz w:val="32"/>
          <w:szCs w:val="32"/>
          <w:lang w:bidi="ar"/>
        </w:rPr>
        <w:t>2010</w:t>
      </w:r>
      <w:r>
        <w:rPr>
          <w:rFonts w:ascii="仿宋_GB2312" w:eastAsia="仿宋_GB2312" w:hAnsi="仿宋_GB2312" w:cs="仿宋_GB2312" w:hint="eastAsia"/>
          <w:sz w:val="32"/>
          <w:szCs w:val="32"/>
          <w:lang w:bidi="ar"/>
        </w:rPr>
        <w:t>〕</w:t>
      </w:r>
      <w:r>
        <w:rPr>
          <w:rFonts w:ascii="仿宋_GB2312" w:eastAsia="仿宋_GB2312" w:hAnsi="仿宋_GB2312" w:cs="仿宋_GB2312"/>
          <w:sz w:val="32"/>
          <w:szCs w:val="32"/>
          <w:lang w:bidi="ar"/>
        </w:rPr>
        <w:t>104</w:t>
      </w:r>
      <w:r>
        <w:rPr>
          <w:rFonts w:ascii="仿宋_GB2312" w:eastAsia="仿宋_GB2312" w:hAnsi="仿宋_GB2312" w:cs="仿宋_GB2312" w:hint="eastAsia"/>
          <w:sz w:val="32"/>
          <w:szCs w:val="32"/>
          <w:lang w:bidi="ar"/>
        </w:rPr>
        <w:t>号）文件精神，在“十二五”期间，我市将进一步加快全市城镇生活污水处理厂及污水管网建设，完善污水管网收集系统，规范排水行为，健全排水管理体系，全面改善我市水环境质量。为确保该项工作能取得实效，加强排水户这一排污源头内部雨污分流工程建设质量监管显得尤为重要，现就</w:t>
      </w:r>
      <w:proofErr w:type="gramStart"/>
      <w:r>
        <w:rPr>
          <w:rFonts w:ascii="仿宋_GB2312" w:eastAsia="仿宋_GB2312" w:hAnsi="仿宋_GB2312" w:cs="仿宋_GB2312" w:hint="eastAsia"/>
          <w:sz w:val="32"/>
          <w:szCs w:val="32"/>
          <w:lang w:bidi="ar"/>
        </w:rPr>
        <w:t>局相关</w:t>
      </w:r>
      <w:proofErr w:type="gramEnd"/>
      <w:r>
        <w:rPr>
          <w:rFonts w:ascii="仿宋_GB2312" w:eastAsia="仿宋_GB2312" w:hAnsi="仿宋_GB2312" w:cs="仿宋_GB2312" w:hint="eastAsia"/>
          <w:sz w:val="32"/>
          <w:szCs w:val="32"/>
          <w:lang w:bidi="ar"/>
        </w:rPr>
        <w:t>部门在新排水</w:t>
      </w:r>
      <w:proofErr w:type="gramStart"/>
      <w:r>
        <w:rPr>
          <w:rFonts w:ascii="仿宋_GB2312" w:eastAsia="仿宋_GB2312" w:hAnsi="仿宋_GB2312" w:cs="仿宋_GB2312" w:hint="eastAsia"/>
          <w:sz w:val="32"/>
          <w:szCs w:val="32"/>
          <w:lang w:bidi="ar"/>
        </w:rPr>
        <w:t>户内部雨</w:t>
      </w:r>
      <w:proofErr w:type="gramEnd"/>
      <w:r>
        <w:rPr>
          <w:rFonts w:ascii="仿宋_GB2312" w:eastAsia="仿宋_GB2312" w:hAnsi="仿宋_GB2312" w:cs="仿宋_GB2312" w:hint="eastAsia"/>
          <w:sz w:val="32"/>
          <w:szCs w:val="32"/>
          <w:lang w:bidi="ar"/>
        </w:rPr>
        <w:t>污分流工程管理工作进一步明确如下：</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sz w:val="32"/>
          <w:szCs w:val="32"/>
          <w:lang w:bidi="ar"/>
        </w:rPr>
        <w:t>1</w:t>
      </w:r>
      <w:r>
        <w:rPr>
          <w:rFonts w:ascii="仿宋_GB2312" w:eastAsia="仿宋_GB2312" w:hAnsi="仿宋_GB2312" w:cs="仿宋_GB2312" w:hint="eastAsia"/>
          <w:sz w:val="32"/>
          <w:szCs w:val="32"/>
          <w:lang w:bidi="ar"/>
        </w:rPr>
        <w:t>、审图中心要将主体工程和室外排水工程一并纳入图审部门的审查范围，特别是对新建住宅要严格按照《关于加强新建居住建筑增设阳台污水收集系统的通知》（</w:t>
      </w:r>
      <w:proofErr w:type="gramStart"/>
      <w:r>
        <w:rPr>
          <w:rFonts w:ascii="仿宋_GB2312" w:eastAsia="仿宋_GB2312" w:hAnsi="仿宋_GB2312" w:cs="仿宋_GB2312" w:hint="eastAsia"/>
          <w:sz w:val="32"/>
          <w:szCs w:val="32"/>
          <w:lang w:bidi="ar"/>
        </w:rPr>
        <w:t>吴住建城</w:t>
      </w:r>
      <w:proofErr w:type="gramEnd"/>
      <w:r>
        <w:rPr>
          <w:rFonts w:ascii="仿宋_GB2312" w:eastAsia="仿宋_GB2312" w:hAnsi="仿宋_GB2312" w:cs="仿宋_GB2312" w:hint="eastAsia"/>
          <w:sz w:val="32"/>
          <w:szCs w:val="32"/>
          <w:lang w:bidi="ar"/>
        </w:rPr>
        <w:t>〔</w:t>
      </w:r>
      <w:r>
        <w:rPr>
          <w:rFonts w:ascii="仿宋_GB2312" w:eastAsia="仿宋_GB2312" w:hAnsi="仿宋_GB2312" w:cs="仿宋_GB2312"/>
          <w:sz w:val="32"/>
          <w:szCs w:val="32"/>
          <w:lang w:bidi="ar"/>
        </w:rPr>
        <w:t>2011</w:t>
      </w:r>
      <w:r>
        <w:rPr>
          <w:rFonts w:ascii="仿宋_GB2312" w:eastAsia="仿宋_GB2312" w:hAnsi="仿宋_GB2312" w:cs="仿宋_GB2312" w:hint="eastAsia"/>
          <w:sz w:val="32"/>
          <w:szCs w:val="32"/>
          <w:lang w:bidi="ar"/>
        </w:rPr>
        <w:t>〕</w:t>
      </w:r>
      <w:r>
        <w:rPr>
          <w:rFonts w:ascii="仿宋_GB2312" w:eastAsia="仿宋_GB2312" w:hAnsi="仿宋_GB2312" w:cs="仿宋_GB2312"/>
          <w:sz w:val="32"/>
          <w:szCs w:val="32"/>
          <w:lang w:bidi="ar"/>
        </w:rPr>
        <w:t>34</w:t>
      </w:r>
      <w:r>
        <w:rPr>
          <w:rFonts w:ascii="仿宋_GB2312" w:eastAsia="仿宋_GB2312" w:hAnsi="仿宋_GB2312" w:cs="仿宋_GB2312" w:hint="eastAsia"/>
          <w:sz w:val="32"/>
          <w:szCs w:val="32"/>
          <w:lang w:bidi="ar"/>
        </w:rPr>
        <w:t>号）中规定进行审查，图审部门在受理的同时将《排水户内部排水设施工程施工许可证办理告知书》（见附件一）及《排水管材及主要配件名录》（</w:t>
      </w:r>
      <w:r>
        <w:rPr>
          <w:rFonts w:ascii="仿宋_GB2312" w:eastAsia="仿宋_GB2312" w:hAnsi="仿宋_GB2312" w:cs="仿宋_GB2312"/>
          <w:sz w:val="32"/>
          <w:szCs w:val="32"/>
          <w:lang w:bidi="ar"/>
        </w:rPr>
        <w:t>2012</w:t>
      </w:r>
      <w:r>
        <w:rPr>
          <w:rFonts w:ascii="仿宋_GB2312" w:eastAsia="仿宋_GB2312" w:hAnsi="仿宋_GB2312" w:cs="仿宋_GB2312" w:hint="eastAsia"/>
          <w:sz w:val="32"/>
          <w:szCs w:val="32"/>
          <w:lang w:bidi="ar"/>
        </w:rPr>
        <w:t>版）（见附件二）发放给业主，并做好相关告知登记工作。</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sz w:val="32"/>
          <w:szCs w:val="32"/>
          <w:lang w:bidi="ar"/>
        </w:rPr>
        <w:t>2</w:t>
      </w:r>
      <w:r>
        <w:rPr>
          <w:rFonts w:ascii="仿宋_GB2312" w:eastAsia="仿宋_GB2312" w:hAnsi="仿宋_GB2312" w:cs="仿宋_GB2312" w:hint="eastAsia"/>
          <w:sz w:val="32"/>
          <w:szCs w:val="32"/>
          <w:lang w:bidi="ar"/>
        </w:rPr>
        <w:t>、服务审批窗口应当告知建设单位将室外排水设施工程作为附属工程，随同主体工程一并办理施工许可证，如确实要求将</w:t>
      </w:r>
      <w:r>
        <w:rPr>
          <w:rFonts w:ascii="仿宋_GB2312" w:eastAsia="仿宋_GB2312" w:hAnsi="仿宋_GB2312" w:cs="仿宋_GB2312" w:hint="eastAsia"/>
          <w:sz w:val="32"/>
          <w:szCs w:val="32"/>
          <w:lang w:bidi="ar"/>
        </w:rPr>
        <w:lastRenderedPageBreak/>
        <w:t>室外排水设施工程单独发包的，必须与主体工程同步发包，同步办理市政工程施工许可证。</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sz w:val="32"/>
          <w:szCs w:val="32"/>
          <w:lang w:bidi="ar"/>
        </w:rPr>
        <w:t>3</w:t>
      </w:r>
      <w:r>
        <w:rPr>
          <w:rFonts w:ascii="仿宋_GB2312" w:eastAsia="仿宋_GB2312" w:hAnsi="仿宋_GB2312" w:cs="仿宋_GB2312" w:hint="eastAsia"/>
          <w:sz w:val="32"/>
          <w:szCs w:val="32"/>
          <w:lang w:bidi="ar"/>
        </w:rPr>
        <w:t>、开发办在开发企业办理商品房预售证时，应查看是否办理了含排水设施施工内容的施工许可证，没有办理含排水设施内容的施工许可证的，应当告知开发单位及时办理方可办理房产预售证。</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sz w:val="32"/>
          <w:szCs w:val="32"/>
          <w:lang w:bidi="ar"/>
        </w:rPr>
        <w:t>4</w:t>
      </w:r>
      <w:r>
        <w:rPr>
          <w:rFonts w:ascii="仿宋_GB2312" w:eastAsia="仿宋_GB2312" w:hAnsi="仿宋_GB2312" w:cs="仿宋_GB2312" w:hint="eastAsia"/>
          <w:sz w:val="32"/>
          <w:szCs w:val="32"/>
          <w:lang w:bidi="ar"/>
        </w:rPr>
        <w:t>、质监部门对新建住宅要严格按照《关于加强新建居住建筑增设阳台污水收集系统的通知》（</w:t>
      </w:r>
      <w:proofErr w:type="gramStart"/>
      <w:r>
        <w:rPr>
          <w:rFonts w:ascii="仿宋_GB2312" w:eastAsia="仿宋_GB2312" w:hAnsi="仿宋_GB2312" w:cs="仿宋_GB2312" w:hint="eastAsia"/>
          <w:sz w:val="32"/>
          <w:szCs w:val="32"/>
          <w:lang w:bidi="ar"/>
        </w:rPr>
        <w:t>吴住建城</w:t>
      </w:r>
      <w:proofErr w:type="gramEnd"/>
      <w:r>
        <w:rPr>
          <w:rFonts w:ascii="仿宋_GB2312" w:eastAsia="仿宋_GB2312" w:hAnsi="仿宋_GB2312" w:cs="仿宋_GB2312" w:hint="eastAsia"/>
          <w:sz w:val="32"/>
          <w:szCs w:val="32"/>
          <w:lang w:bidi="ar"/>
        </w:rPr>
        <w:t>〔</w:t>
      </w:r>
      <w:r>
        <w:rPr>
          <w:rFonts w:ascii="仿宋_GB2312" w:eastAsia="仿宋_GB2312" w:hAnsi="仿宋_GB2312" w:cs="仿宋_GB2312"/>
          <w:sz w:val="32"/>
          <w:szCs w:val="32"/>
          <w:lang w:bidi="ar"/>
        </w:rPr>
        <w:t>2011</w:t>
      </w:r>
      <w:r>
        <w:rPr>
          <w:rFonts w:ascii="仿宋_GB2312" w:eastAsia="仿宋_GB2312" w:hAnsi="仿宋_GB2312" w:cs="仿宋_GB2312" w:hint="eastAsia"/>
          <w:sz w:val="32"/>
          <w:szCs w:val="32"/>
          <w:lang w:bidi="ar"/>
        </w:rPr>
        <w:t>〕</w:t>
      </w:r>
      <w:r>
        <w:rPr>
          <w:rFonts w:ascii="仿宋_GB2312" w:eastAsia="仿宋_GB2312" w:hAnsi="仿宋_GB2312" w:cs="仿宋_GB2312"/>
          <w:sz w:val="32"/>
          <w:szCs w:val="32"/>
          <w:lang w:bidi="ar"/>
        </w:rPr>
        <w:t>34</w:t>
      </w:r>
      <w:r>
        <w:rPr>
          <w:rFonts w:ascii="仿宋_GB2312" w:eastAsia="仿宋_GB2312" w:hAnsi="仿宋_GB2312" w:cs="仿宋_GB2312" w:hint="eastAsia"/>
          <w:sz w:val="32"/>
          <w:szCs w:val="32"/>
          <w:lang w:bidi="ar"/>
        </w:rPr>
        <w:t>号）中规定执行，并纳入有效监管，确保排水户源头施工质量。</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sz w:val="32"/>
          <w:szCs w:val="32"/>
          <w:lang w:bidi="ar"/>
        </w:rPr>
        <w:t>5</w:t>
      </w:r>
      <w:r>
        <w:rPr>
          <w:rFonts w:ascii="仿宋_GB2312" w:eastAsia="仿宋_GB2312" w:hAnsi="仿宋_GB2312" w:cs="仿宋_GB2312" w:hint="eastAsia"/>
          <w:sz w:val="32"/>
          <w:szCs w:val="32"/>
          <w:lang w:bidi="ar"/>
        </w:rPr>
        <w:t>、建管处、市政处在工程综合大检查时应加入排水设施建设检查内容。排水处要加强对在建项目的抽检工作，特别是对新建住宅检查中要进一步关注阳台污水收集系统是否按要求设置，将检查中发现的问题及时反馈相关部门科室；同时要根据对排水户排水水质、排水量以及日常管理情况，确定每年重点监管对象，并在局网站上公布。</w:t>
      </w:r>
    </w:p>
    <w:p w:rsidR="002529F8"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本通知自</w:t>
      </w:r>
      <w:r>
        <w:rPr>
          <w:rFonts w:ascii="仿宋_GB2312" w:eastAsia="仿宋_GB2312" w:hAnsi="仿宋_GB2312" w:cs="仿宋_GB2312"/>
          <w:sz w:val="32"/>
          <w:szCs w:val="32"/>
          <w:lang w:bidi="ar"/>
        </w:rPr>
        <w:t>2012</w:t>
      </w:r>
      <w:r>
        <w:rPr>
          <w:rFonts w:ascii="仿宋_GB2312" w:eastAsia="仿宋_GB2312" w:hAnsi="仿宋_GB2312" w:cs="仿宋_GB2312" w:hint="eastAsia"/>
          <w:sz w:val="32"/>
          <w:szCs w:val="32"/>
          <w:lang w:bidi="ar"/>
        </w:rPr>
        <w:t>年</w:t>
      </w:r>
      <w:r>
        <w:rPr>
          <w:rFonts w:ascii="仿宋_GB2312" w:eastAsia="仿宋_GB2312" w:hAnsi="仿宋_GB2312" w:cs="仿宋_GB2312"/>
          <w:sz w:val="32"/>
          <w:szCs w:val="32"/>
          <w:lang w:bidi="ar"/>
        </w:rPr>
        <w:t>1</w:t>
      </w:r>
      <w:r>
        <w:rPr>
          <w:rFonts w:ascii="仿宋_GB2312" w:eastAsia="仿宋_GB2312" w:hAnsi="仿宋_GB2312" w:cs="仿宋_GB2312" w:hint="eastAsia"/>
          <w:sz w:val="32"/>
          <w:szCs w:val="32"/>
          <w:lang w:bidi="ar"/>
        </w:rPr>
        <w:t>月</w:t>
      </w:r>
      <w:r>
        <w:rPr>
          <w:rFonts w:ascii="仿宋_GB2312" w:eastAsia="仿宋_GB2312" w:hAnsi="仿宋_GB2312" w:cs="仿宋_GB2312"/>
          <w:sz w:val="32"/>
          <w:szCs w:val="32"/>
          <w:lang w:bidi="ar"/>
        </w:rPr>
        <w:t>1</w:t>
      </w:r>
      <w:r>
        <w:rPr>
          <w:rFonts w:ascii="仿宋_GB2312" w:eastAsia="仿宋_GB2312" w:hAnsi="仿宋_GB2312" w:cs="仿宋_GB2312" w:hint="eastAsia"/>
          <w:sz w:val="32"/>
          <w:szCs w:val="32"/>
          <w:lang w:bidi="ar"/>
        </w:rPr>
        <w:t>日起施行。</w:t>
      </w:r>
      <w:r>
        <w:rPr>
          <w:rFonts w:ascii="仿宋_GB2312" w:eastAsia="仿宋_GB2312" w:hAnsi="仿宋_GB2312" w:cs="仿宋_GB2312" w:hint="eastAsia"/>
          <w:sz w:val="32"/>
          <w:szCs w:val="32"/>
          <w:lang w:bidi="ar"/>
        </w:rPr>
        <w:t> </w:t>
      </w:r>
    </w:p>
    <w:p w:rsidR="002529F8" w:rsidRDefault="002529F8"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r>
        <w:rPr>
          <w:rFonts w:ascii="仿宋_GB2312" w:eastAsia="仿宋_GB2312" w:hAnsi="仿宋_GB2312" w:cs="仿宋_GB2312" w:hint="eastAsia"/>
          <w:sz w:val="32"/>
          <w:szCs w:val="32"/>
          <w:lang w:bidi="ar"/>
        </w:rPr>
        <w:t> </w:t>
      </w:r>
    </w:p>
    <w:p w:rsidR="00283E45" w:rsidRDefault="00283E45" w:rsidP="002529F8">
      <w:pPr>
        <w:pStyle w:val="a5"/>
        <w:widowControl/>
        <w:topLinePunct/>
        <w:spacing w:before="0" w:beforeAutospacing="0" w:after="0" w:afterAutospacing="0" w:line="560" w:lineRule="exact"/>
        <w:ind w:firstLineChars="1100" w:firstLine="3520"/>
        <w:jc w:val="both"/>
        <w:textAlignment w:val="baseline"/>
        <w:rPr>
          <w:rFonts w:ascii="仿宋_GB2312" w:eastAsia="仿宋_GB2312" w:hAnsi="仿宋_GB2312" w:cs="仿宋_GB2312"/>
          <w:sz w:val="32"/>
          <w:szCs w:val="32"/>
          <w:lang w:bidi="ar"/>
        </w:rPr>
      </w:pPr>
      <w:bookmarkStart w:id="1" w:name="OLE_LINK2"/>
      <w:r>
        <w:rPr>
          <w:rFonts w:ascii="仿宋_GB2312" w:eastAsia="仿宋_GB2312" w:hAnsi="仿宋_GB2312" w:cs="仿宋_GB2312" w:hint="eastAsia"/>
          <w:sz w:val="32"/>
          <w:szCs w:val="32"/>
          <w:lang w:bidi="ar"/>
        </w:rPr>
        <w:t>吴江市住房和城乡建设局党政办公室</w:t>
      </w:r>
      <w:bookmarkEnd w:id="1"/>
    </w:p>
    <w:p w:rsidR="00283E45" w:rsidRDefault="00283E45" w:rsidP="002529F8">
      <w:pPr>
        <w:pStyle w:val="a5"/>
        <w:widowControl/>
        <w:topLinePunct/>
        <w:spacing w:before="0" w:beforeAutospacing="0" w:after="0" w:afterAutospacing="0" w:line="560" w:lineRule="exact"/>
        <w:ind w:right="1280" w:firstLineChars="1500" w:firstLine="4800"/>
        <w:jc w:val="both"/>
        <w:textAlignment w:val="baseline"/>
        <w:rPr>
          <w:rFonts w:ascii="仿宋_GB2312" w:eastAsia="仿宋_GB2312" w:hAnsi="仿宋_GB2312" w:cs="仿宋_GB2312"/>
          <w:sz w:val="32"/>
          <w:szCs w:val="32"/>
          <w:lang w:bidi="ar"/>
        </w:rPr>
      </w:pPr>
      <w:bookmarkStart w:id="2" w:name="OLE_LINK1"/>
      <w:r>
        <w:rPr>
          <w:rFonts w:ascii="仿宋_GB2312" w:eastAsia="仿宋_GB2312" w:hAnsi="仿宋_GB2312" w:cs="仿宋_GB2312"/>
          <w:sz w:val="32"/>
          <w:szCs w:val="32"/>
          <w:lang w:bidi="ar"/>
        </w:rPr>
        <w:t>2011</w:t>
      </w:r>
      <w:r>
        <w:rPr>
          <w:rFonts w:ascii="仿宋_GB2312" w:eastAsia="仿宋_GB2312" w:hAnsi="仿宋_GB2312" w:cs="仿宋_GB2312" w:hint="eastAsia"/>
          <w:sz w:val="32"/>
          <w:szCs w:val="32"/>
          <w:lang w:bidi="ar"/>
        </w:rPr>
        <w:t>年</w:t>
      </w:r>
      <w:r>
        <w:rPr>
          <w:rFonts w:ascii="仿宋_GB2312" w:eastAsia="仿宋_GB2312" w:hAnsi="仿宋_GB2312" w:cs="仿宋_GB2312"/>
          <w:sz w:val="32"/>
          <w:szCs w:val="32"/>
          <w:lang w:bidi="ar"/>
        </w:rPr>
        <w:t>12</w:t>
      </w:r>
      <w:r>
        <w:rPr>
          <w:rFonts w:ascii="仿宋_GB2312" w:eastAsia="仿宋_GB2312" w:hAnsi="仿宋_GB2312" w:cs="仿宋_GB2312" w:hint="eastAsia"/>
          <w:sz w:val="32"/>
          <w:szCs w:val="32"/>
          <w:lang w:bidi="ar"/>
        </w:rPr>
        <w:t>月</w:t>
      </w:r>
      <w:r>
        <w:rPr>
          <w:rFonts w:ascii="仿宋_GB2312" w:eastAsia="仿宋_GB2312" w:hAnsi="仿宋_GB2312" w:cs="仿宋_GB2312"/>
          <w:sz w:val="32"/>
          <w:szCs w:val="32"/>
          <w:lang w:bidi="ar"/>
        </w:rPr>
        <w:t>31</w:t>
      </w:r>
      <w:r>
        <w:rPr>
          <w:rFonts w:ascii="仿宋_GB2312" w:eastAsia="仿宋_GB2312" w:hAnsi="仿宋_GB2312" w:cs="仿宋_GB2312" w:hint="eastAsia"/>
          <w:sz w:val="32"/>
          <w:szCs w:val="32"/>
          <w:lang w:bidi="ar"/>
        </w:rPr>
        <w:t>日</w:t>
      </w:r>
      <w:bookmarkEnd w:id="2"/>
    </w:p>
    <w:p w:rsidR="001F7FEB" w:rsidRDefault="001F7FEB" w:rsidP="002529F8">
      <w:pPr>
        <w:pStyle w:val="a5"/>
        <w:widowControl/>
        <w:topLinePunct/>
        <w:spacing w:before="0" w:beforeAutospacing="0" w:after="0" w:afterAutospacing="0" w:line="560" w:lineRule="exact"/>
        <w:jc w:val="both"/>
        <w:textAlignment w:val="baseline"/>
        <w:rPr>
          <w:rFonts w:ascii="仿宋_GB2312" w:eastAsia="仿宋_GB2312" w:hAnsi="仿宋_GB2312" w:cs="仿宋_GB2312" w:hint="eastAsia"/>
          <w:sz w:val="32"/>
          <w:szCs w:val="32"/>
          <w:lang w:bidi="ar"/>
        </w:rPr>
      </w:pPr>
    </w:p>
    <w:p w:rsidR="001F7FEB" w:rsidRDefault="001F7FEB" w:rsidP="002529F8">
      <w:pPr>
        <w:pStyle w:val="a5"/>
        <w:widowControl/>
        <w:topLinePunct/>
        <w:spacing w:before="0" w:beforeAutospacing="0" w:after="0" w:afterAutospacing="0" w:line="560" w:lineRule="exact"/>
        <w:jc w:val="both"/>
        <w:textAlignment w:val="baseline"/>
        <w:rPr>
          <w:rFonts w:ascii="仿宋_GB2312" w:eastAsia="仿宋_GB2312" w:hAnsi="仿宋_GB2312" w:cs="仿宋_GB2312" w:hint="eastAsia"/>
          <w:sz w:val="32"/>
          <w:szCs w:val="32"/>
          <w:lang w:bidi="ar"/>
        </w:rPr>
      </w:pPr>
    </w:p>
    <w:p w:rsidR="001F7FEB" w:rsidRDefault="001F7FEB" w:rsidP="002529F8">
      <w:pPr>
        <w:pStyle w:val="a5"/>
        <w:widowControl/>
        <w:topLinePunct/>
        <w:spacing w:before="0" w:beforeAutospacing="0" w:after="0" w:afterAutospacing="0" w:line="560" w:lineRule="exact"/>
        <w:jc w:val="both"/>
        <w:textAlignment w:val="baseline"/>
        <w:rPr>
          <w:rFonts w:ascii="仿宋_GB2312" w:eastAsia="仿宋_GB2312" w:hAnsi="仿宋_GB2312" w:cs="仿宋_GB2312" w:hint="eastAsia"/>
          <w:sz w:val="32"/>
          <w:szCs w:val="32"/>
          <w:lang w:bidi="ar"/>
        </w:rPr>
      </w:pPr>
    </w:p>
    <w:p w:rsidR="001F7FEB" w:rsidRDefault="001F7FEB" w:rsidP="002529F8">
      <w:pPr>
        <w:pStyle w:val="a5"/>
        <w:widowControl/>
        <w:topLinePunct/>
        <w:spacing w:before="0" w:beforeAutospacing="0" w:after="0" w:afterAutospacing="0" w:line="560" w:lineRule="exact"/>
        <w:jc w:val="both"/>
        <w:textAlignment w:val="baseline"/>
        <w:rPr>
          <w:rFonts w:ascii="仿宋_GB2312" w:eastAsia="仿宋_GB2312" w:hAnsi="仿宋_GB2312" w:cs="仿宋_GB2312" w:hint="eastAsia"/>
          <w:sz w:val="32"/>
          <w:szCs w:val="32"/>
          <w:lang w:bidi="ar"/>
        </w:rPr>
      </w:pPr>
    </w:p>
    <w:p w:rsidR="00283E45" w:rsidRDefault="00283E45" w:rsidP="002529F8">
      <w:pPr>
        <w:pStyle w:val="a5"/>
        <w:widowControl/>
        <w:topLinePunct/>
        <w:spacing w:before="0" w:beforeAutospacing="0" w:after="0" w:afterAutospacing="0" w:line="560" w:lineRule="exact"/>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附件一：</w:t>
      </w:r>
    </w:p>
    <w:p w:rsidR="00283E45" w:rsidRPr="002368D4" w:rsidRDefault="00283E45" w:rsidP="002368D4">
      <w:pPr>
        <w:pStyle w:val="a5"/>
        <w:widowControl/>
        <w:topLinePunct/>
        <w:spacing w:before="0" w:beforeAutospacing="0" w:after="0" w:afterAutospacing="0" w:line="620" w:lineRule="exact"/>
        <w:ind w:firstLineChars="200" w:firstLine="880"/>
        <w:jc w:val="center"/>
        <w:textAlignment w:val="baseline"/>
        <w:rPr>
          <w:rFonts w:ascii="方正小标宋_GBK" w:eastAsia="方正小标宋_GBK" w:hAnsi="仿宋_GB2312" w:cs="仿宋_GB2312"/>
          <w:sz w:val="44"/>
          <w:szCs w:val="44"/>
          <w:lang w:bidi="ar"/>
        </w:rPr>
      </w:pPr>
      <w:r w:rsidRPr="002368D4">
        <w:rPr>
          <w:rFonts w:ascii="方正小标宋_GBK" w:eastAsia="方正小标宋_GBK" w:hAnsi="仿宋_GB2312" w:cs="仿宋_GB2312" w:hint="eastAsia"/>
          <w:sz w:val="44"/>
          <w:szCs w:val="44"/>
          <w:lang w:bidi="ar"/>
        </w:rPr>
        <w:t>排水</w:t>
      </w:r>
      <w:proofErr w:type="gramStart"/>
      <w:r w:rsidRPr="002368D4">
        <w:rPr>
          <w:rFonts w:ascii="方正小标宋_GBK" w:eastAsia="方正小标宋_GBK" w:hAnsi="仿宋_GB2312" w:cs="仿宋_GB2312" w:hint="eastAsia"/>
          <w:sz w:val="44"/>
          <w:szCs w:val="44"/>
          <w:lang w:bidi="ar"/>
        </w:rPr>
        <w:t>户内部</w:t>
      </w:r>
      <w:proofErr w:type="gramEnd"/>
      <w:r w:rsidRPr="002368D4">
        <w:rPr>
          <w:rFonts w:ascii="方正小标宋_GBK" w:eastAsia="方正小标宋_GBK" w:hAnsi="仿宋_GB2312" w:cs="仿宋_GB2312" w:hint="eastAsia"/>
          <w:sz w:val="44"/>
          <w:szCs w:val="44"/>
          <w:lang w:bidi="ar"/>
        </w:rPr>
        <w:t>排水设施工程施工许可证办理告知书</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各业主单位：</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根据市政府下发的《加强全市城乡生活污水治理工作实施意见》（吴政发〔</w:t>
      </w:r>
      <w:r>
        <w:rPr>
          <w:rFonts w:ascii="仿宋_GB2312" w:eastAsia="仿宋_GB2312" w:hAnsi="仿宋_GB2312" w:cs="仿宋_GB2312"/>
          <w:sz w:val="32"/>
          <w:szCs w:val="32"/>
          <w:lang w:bidi="ar"/>
        </w:rPr>
        <w:t>2010</w:t>
      </w:r>
      <w:r>
        <w:rPr>
          <w:rFonts w:ascii="仿宋_GB2312" w:eastAsia="仿宋_GB2312" w:hAnsi="仿宋_GB2312" w:cs="仿宋_GB2312" w:hint="eastAsia"/>
          <w:sz w:val="32"/>
          <w:szCs w:val="32"/>
          <w:lang w:bidi="ar"/>
        </w:rPr>
        <w:t>〕）文件精神，在“十二五”期间，我市将进一步加快全市城镇生活污水处理厂及污水管网建设，完善污水管网收集系统，规范排水行为，健全排水管理体系，全面改善我市水环境质量。为确保该项工作顺利推进，避免各业主单位由于没有按照雨污分流等排水工程要求进行施工导致返工，具体要求如下：</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sz w:val="32"/>
          <w:szCs w:val="32"/>
          <w:lang w:bidi="ar"/>
        </w:rPr>
        <w:t>1</w:t>
      </w:r>
      <w:r>
        <w:rPr>
          <w:rFonts w:ascii="仿宋_GB2312" w:eastAsia="仿宋_GB2312" w:hAnsi="仿宋_GB2312" w:cs="仿宋_GB2312" w:hint="eastAsia"/>
          <w:sz w:val="32"/>
          <w:szCs w:val="32"/>
          <w:lang w:bidi="ar"/>
        </w:rPr>
        <w:t>、工业项目排水户在新、改、扩建工程项目办理施工许可证时，要求将室外排水作为附属工程同步纳入建筑施工许可范围；</w:t>
      </w:r>
    </w:p>
    <w:p w:rsidR="00283E45" w:rsidRDefault="00283E45"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r>
        <w:rPr>
          <w:rFonts w:ascii="仿宋_GB2312" w:eastAsia="仿宋_GB2312" w:hAnsi="仿宋_GB2312" w:cs="仿宋_GB2312"/>
          <w:sz w:val="32"/>
          <w:szCs w:val="32"/>
          <w:lang w:bidi="ar"/>
        </w:rPr>
        <w:t>2</w:t>
      </w:r>
      <w:r>
        <w:rPr>
          <w:rFonts w:ascii="仿宋_GB2312" w:eastAsia="仿宋_GB2312" w:hAnsi="仿宋_GB2312" w:cs="仿宋_GB2312" w:hint="eastAsia"/>
          <w:sz w:val="32"/>
          <w:szCs w:val="32"/>
          <w:lang w:bidi="ar"/>
        </w:rPr>
        <w:t>、各新增企事业单位及房地产项目的室外</w:t>
      </w:r>
      <w:proofErr w:type="gramStart"/>
      <w:r>
        <w:rPr>
          <w:rFonts w:ascii="仿宋_GB2312" w:eastAsia="仿宋_GB2312" w:hAnsi="仿宋_GB2312" w:cs="仿宋_GB2312" w:hint="eastAsia"/>
          <w:sz w:val="32"/>
          <w:szCs w:val="32"/>
          <w:lang w:bidi="ar"/>
        </w:rPr>
        <w:t>排水既</w:t>
      </w:r>
      <w:proofErr w:type="gramEnd"/>
      <w:r>
        <w:rPr>
          <w:rFonts w:ascii="仿宋_GB2312" w:eastAsia="仿宋_GB2312" w:hAnsi="仿宋_GB2312" w:cs="仿宋_GB2312" w:hint="eastAsia"/>
          <w:sz w:val="32"/>
          <w:szCs w:val="32"/>
          <w:lang w:bidi="ar"/>
        </w:rPr>
        <w:t>可作为附属工程同步纳入建筑施工许可范围，也可作为市政项目单独</w:t>
      </w:r>
      <w:proofErr w:type="gramStart"/>
      <w:r>
        <w:rPr>
          <w:rFonts w:ascii="仿宋_GB2312" w:eastAsia="仿宋_GB2312" w:hAnsi="仿宋_GB2312" w:cs="仿宋_GB2312" w:hint="eastAsia"/>
          <w:sz w:val="32"/>
          <w:szCs w:val="32"/>
          <w:lang w:bidi="ar"/>
        </w:rPr>
        <w:t>签定</w:t>
      </w:r>
      <w:proofErr w:type="gramEnd"/>
      <w:r>
        <w:rPr>
          <w:rFonts w:ascii="仿宋_GB2312" w:eastAsia="仿宋_GB2312" w:hAnsi="仿宋_GB2312" w:cs="仿宋_GB2312" w:hint="eastAsia"/>
          <w:sz w:val="32"/>
          <w:szCs w:val="32"/>
          <w:lang w:bidi="ar"/>
        </w:rPr>
        <w:t>施工合同，但必须与建筑施工许可同步办理市政施工许可。</w:t>
      </w:r>
    </w:p>
    <w:p w:rsidR="002368D4" w:rsidRDefault="002368D4"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p>
    <w:p w:rsidR="002368D4" w:rsidRDefault="002368D4"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p>
    <w:p w:rsidR="002368D4" w:rsidRDefault="002368D4"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p>
    <w:p w:rsidR="002368D4" w:rsidRDefault="002368D4"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p>
    <w:p w:rsidR="002368D4" w:rsidRDefault="002368D4" w:rsidP="00283E45">
      <w:pPr>
        <w:pStyle w:val="a5"/>
        <w:widowControl/>
        <w:topLinePunct/>
        <w:spacing w:before="0" w:beforeAutospacing="0" w:after="0" w:afterAutospacing="0" w:line="560" w:lineRule="exact"/>
        <w:ind w:firstLineChars="200" w:firstLine="640"/>
        <w:jc w:val="both"/>
        <w:textAlignment w:val="baseline"/>
        <w:rPr>
          <w:rFonts w:ascii="仿宋_GB2312" w:eastAsia="仿宋_GB2312" w:hAnsi="仿宋_GB2312" w:cs="仿宋_GB2312"/>
          <w:sz w:val="32"/>
          <w:szCs w:val="32"/>
          <w:lang w:bidi="ar"/>
        </w:rPr>
      </w:pPr>
    </w:p>
    <w:p w:rsidR="002368D4" w:rsidRDefault="002368D4" w:rsidP="002368D4">
      <w:pPr>
        <w:pStyle w:val="a5"/>
        <w:widowControl/>
        <w:topLinePunct/>
        <w:spacing w:before="0" w:beforeAutospacing="0" w:after="120" w:afterAutospacing="0" w:line="560" w:lineRule="exact"/>
        <w:ind w:firstLineChars="200" w:firstLine="640"/>
        <w:jc w:val="both"/>
        <w:textAlignment w:val="baseline"/>
        <w:rPr>
          <w:rFonts w:ascii="仿宋_GB2312" w:eastAsia="仿宋_GB2312" w:hAnsi="仿宋_GB2312" w:cs="仿宋_GB2312"/>
          <w:sz w:val="32"/>
          <w:szCs w:val="32"/>
          <w:lang w:bidi="ar"/>
        </w:rPr>
      </w:pPr>
    </w:p>
    <w:p w:rsidR="00283E45" w:rsidRPr="002368D4" w:rsidRDefault="00283E45" w:rsidP="002368D4">
      <w:pPr>
        <w:pStyle w:val="a5"/>
        <w:widowControl/>
        <w:topLinePunct/>
        <w:spacing w:before="0" w:beforeAutospacing="0" w:after="120" w:afterAutospacing="0" w:line="560" w:lineRule="exact"/>
        <w:textAlignment w:val="baseline"/>
        <w:rPr>
          <w:rFonts w:ascii="仿宋_GB2312" w:eastAsia="仿宋_GB2312" w:cs="Calibri"/>
          <w:sz w:val="32"/>
          <w:szCs w:val="32"/>
          <w:lang w:bidi="ar"/>
        </w:rPr>
      </w:pPr>
      <w:r w:rsidRPr="002368D4">
        <w:rPr>
          <w:rFonts w:ascii="仿宋_GB2312" w:eastAsia="仿宋_GB2312" w:hAnsi="仿宋" w:cs="仿宋" w:hint="eastAsia"/>
          <w:sz w:val="32"/>
          <w:szCs w:val="32"/>
          <w:lang w:bidi="ar"/>
        </w:rPr>
        <w:t>附件二：</w:t>
      </w:r>
    </w:p>
    <w:p w:rsidR="00283E45" w:rsidRPr="002368D4" w:rsidRDefault="00283E45" w:rsidP="002368D4">
      <w:pPr>
        <w:pStyle w:val="a5"/>
        <w:widowControl/>
        <w:topLinePunct/>
        <w:spacing w:before="0" w:beforeAutospacing="0" w:after="120" w:afterAutospacing="0" w:line="560" w:lineRule="exact"/>
        <w:ind w:leftChars="303" w:left="636" w:firstLineChars="200" w:firstLine="880"/>
        <w:jc w:val="center"/>
        <w:textAlignment w:val="baseline"/>
        <w:rPr>
          <w:rFonts w:ascii="方正小标宋_GBK" w:eastAsia="方正小标宋_GBK" w:cs="Calibri"/>
          <w:sz w:val="44"/>
          <w:szCs w:val="44"/>
          <w:lang w:bidi="ar"/>
        </w:rPr>
      </w:pPr>
      <w:r w:rsidRPr="002368D4">
        <w:rPr>
          <w:rFonts w:ascii="方正小标宋_GBK" w:eastAsia="方正小标宋_GBK" w:hAnsi="宋体" w:cs="宋体" w:hint="eastAsia"/>
          <w:sz w:val="44"/>
          <w:szCs w:val="44"/>
          <w:lang w:bidi="ar"/>
        </w:rPr>
        <w:t>吴江市室外排水管道主材及配件</w:t>
      </w:r>
      <w:proofErr w:type="gramStart"/>
      <w:r w:rsidRPr="002368D4">
        <w:rPr>
          <w:rFonts w:ascii="方正小标宋_GBK" w:eastAsia="方正小标宋_GBK" w:hAnsi="宋体" w:cs="宋体" w:hint="eastAsia"/>
          <w:sz w:val="44"/>
          <w:szCs w:val="44"/>
          <w:lang w:bidi="ar"/>
        </w:rPr>
        <w:t>供应商选名单</w:t>
      </w:r>
      <w:proofErr w:type="gramEnd"/>
      <w:r w:rsidRPr="002368D4">
        <w:rPr>
          <w:rFonts w:ascii="方正小标宋_GBK" w:eastAsia="方正小标宋_GBK" w:hAnsi="宋体" w:cs="宋体" w:hint="eastAsia"/>
          <w:sz w:val="44"/>
          <w:szCs w:val="44"/>
          <w:lang w:bidi="ar"/>
        </w:rPr>
        <w:t>（</w:t>
      </w:r>
      <w:r w:rsidRPr="002368D4">
        <w:rPr>
          <w:rFonts w:ascii="方正小标宋_GBK" w:eastAsia="方正小标宋_GBK" w:cs="Calibri" w:hint="eastAsia"/>
          <w:sz w:val="44"/>
          <w:szCs w:val="44"/>
          <w:lang w:bidi="ar"/>
        </w:rPr>
        <w:t>2012</w:t>
      </w:r>
      <w:r w:rsidRPr="002368D4">
        <w:rPr>
          <w:rFonts w:ascii="方正小标宋_GBK" w:eastAsia="方正小标宋_GBK" w:cs="Calibri" w:hint="eastAsia"/>
          <w:sz w:val="44"/>
          <w:szCs w:val="44"/>
          <w:lang w:bidi="ar"/>
        </w:rPr>
        <w:t> </w:t>
      </w:r>
      <w:r w:rsidRPr="002368D4">
        <w:rPr>
          <w:rFonts w:ascii="方正小标宋_GBK" w:eastAsia="方正小标宋_GBK" w:hAnsi="宋体" w:cs="宋体" w:hint="eastAsia"/>
          <w:sz w:val="44"/>
          <w:szCs w:val="44"/>
          <w:lang w:bidi="ar"/>
        </w:rPr>
        <w:t>版）</w:t>
      </w:r>
    </w:p>
    <w:tbl>
      <w:tblPr>
        <w:tblW w:w="8522" w:type="dxa"/>
        <w:jc w:val="center"/>
        <w:tblBorders>
          <w:insideH w:val="outset" w:sz="6" w:space="0" w:color="auto"/>
          <w:insideV w:val="outset" w:sz="6" w:space="0" w:color="auto"/>
        </w:tblBorders>
        <w:tblCellMar>
          <w:left w:w="0" w:type="dxa"/>
          <w:right w:w="0" w:type="dxa"/>
        </w:tblCellMar>
        <w:tblLook w:val="0000" w:firstRow="0" w:lastRow="0" w:firstColumn="0" w:lastColumn="0" w:noHBand="0" w:noVBand="0"/>
      </w:tblPr>
      <w:tblGrid>
        <w:gridCol w:w="4084"/>
        <w:gridCol w:w="715"/>
        <w:gridCol w:w="3723"/>
      </w:tblGrid>
      <w:tr w:rsidR="00283E45" w:rsidTr="00F56EA1">
        <w:trPr>
          <w:tblHeader/>
          <w:jc w:val="center"/>
        </w:trPr>
        <w:tc>
          <w:tcPr>
            <w:tcW w:w="408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0" w:beforeAutospacing="0" w:after="0" w:afterAutospacing="0" w:line="560" w:lineRule="exact"/>
              <w:jc w:val="center"/>
              <w:textAlignment w:val="baseline"/>
              <w:rPr>
                <w:rFonts w:ascii="仿宋" w:eastAsia="仿宋" w:hAnsi="仿宋" w:cs="仿宋"/>
                <w:b/>
                <w:color w:val="505050"/>
                <w:szCs w:val="21"/>
                <w:lang w:bidi="ar"/>
              </w:rPr>
            </w:pPr>
            <w:r>
              <w:rPr>
                <w:rFonts w:ascii="仿宋" w:eastAsia="仿宋" w:hAnsi="仿宋" w:cs="仿宋" w:hint="eastAsia"/>
                <w:b/>
                <w:color w:val="505050"/>
                <w:lang w:bidi="ar"/>
              </w:rPr>
              <w:t>管材（配件）类别</w:t>
            </w:r>
          </w:p>
        </w:tc>
        <w:tc>
          <w:tcPr>
            <w:tcW w:w="715" w:type="dxa"/>
            <w:tcBorders>
              <w:top w:val="single" w:sz="8" w:space="0" w:color="000000"/>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0" w:beforeAutospacing="0" w:after="0" w:afterAutospacing="0" w:line="560" w:lineRule="exact"/>
              <w:jc w:val="center"/>
              <w:textAlignment w:val="baseline"/>
              <w:rPr>
                <w:rFonts w:ascii="仿宋" w:eastAsia="仿宋" w:hAnsi="仿宋" w:cs="仿宋"/>
                <w:b/>
                <w:color w:val="505050"/>
                <w:szCs w:val="21"/>
                <w:lang w:bidi="ar"/>
              </w:rPr>
            </w:pPr>
            <w:r>
              <w:rPr>
                <w:rFonts w:ascii="仿宋" w:eastAsia="仿宋" w:hAnsi="仿宋" w:cs="仿宋" w:hint="eastAsia"/>
                <w:b/>
                <w:color w:val="505050"/>
                <w:lang w:bidi="ar"/>
              </w:rPr>
              <w:t>序号</w:t>
            </w:r>
          </w:p>
        </w:tc>
        <w:tc>
          <w:tcPr>
            <w:tcW w:w="3723" w:type="dxa"/>
            <w:tcBorders>
              <w:top w:val="single" w:sz="8" w:space="0" w:color="000000"/>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0" w:beforeAutospacing="0" w:after="0" w:afterAutospacing="0" w:line="560" w:lineRule="exact"/>
              <w:jc w:val="center"/>
              <w:textAlignment w:val="baseline"/>
              <w:rPr>
                <w:rFonts w:ascii="仿宋" w:eastAsia="仿宋" w:hAnsi="仿宋" w:cs="仿宋"/>
                <w:b/>
                <w:color w:val="505050"/>
                <w:szCs w:val="21"/>
                <w:lang w:bidi="ar"/>
              </w:rPr>
            </w:pPr>
            <w:r>
              <w:rPr>
                <w:rFonts w:ascii="仿宋" w:eastAsia="仿宋" w:hAnsi="仿宋" w:cs="仿宋" w:hint="eastAsia"/>
                <w:b/>
                <w:color w:val="505050"/>
                <w:lang w:bidi="ar"/>
              </w:rPr>
              <w:t>报名单位</w:t>
            </w:r>
          </w:p>
        </w:tc>
      </w:tr>
      <w:tr w:rsidR="00283E45" w:rsidTr="00F56EA1">
        <w:trPr>
          <w:jc w:val="center"/>
        </w:trPr>
        <w:tc>
          <w:tcPr>
            <w:tcW w:w="4084" w:type="dxa"/>
            <w:vMerge w:val="restart"/>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137"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承插式钢筋</w:t>
            </w:r>
            <w:proofErr w:type="gramStart"/>
            <w:r>
              <w:rPr>
                <w:rFonts w:ascii="仿宋" w:eastAsia="仿宋" w:hAnsi="仿宋" w:cs="仿宋" w:hint="eastAsia"/>
                <w:color w:val="505050"/>
                <w:lang w:bidi="ar"/>
              </w:rPr>
              <w:t>砼</w:t>
            </w:r>
            <w:proofErr w:type="gramEnd"/>
            <w:r>
              <w:rPr>
                <w:rFonts w:ascii="仿宋" w:eastAsia="仿宋" w:hAnsi="仿宋" w:cs="仿宋" w:hint="eastAsia"/>
                <w:color w:val="505050"/>
                <w:lang w:bidi="ar"/>
              </w:rPr>
              <w:t>管</w:t>
            </w:r>
          </w:p>
          <w:p w:rsidR="00283E45" w:rsidRDefault="00283E45" w:rsidP="00F56EA1">
            <w:pPr>
              <w:pStyle w:val="a5"/>
              <w:widowControl/>
              <w:topLinePunct/>
              <w:snapToGrid w:val="0"/>
              <w:spacing w:before="4"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w:t>
            </w:r>
            <w:r>
              <w:rPr>
                <w:rFonts w:ascii="仿宋" w:eastAsia="仿宋" w:hAnsi="仿宋" w:cs="仿宋"/>
                <w:color w:val="505050"/>
                <w:lang w:bidi="ar"/>
              </w:rPr>
              <w:t>DN900</w:t>
            </w:r>
            <w:r>
              <w:rPr>
                <w:rFonts w:ascii="仿宋" w:eastAsia="仿宋" w:hAnsi="仿宋" w:cs="仿宋" w:hint="eastAsia"/>
                <w:color w:val="505050"/>
                <w:lang w:bidi="ar"/>
              </w:rPr>
              <w:t>≤管径≤</w:t>
            </w:r>
            <w:r>
              <w:rPr>
                <w:rFonts w:ascii="仿宋" w:eastAsia="仿宋" w:hAnsi="仿宋" w:cs="仿宋"/>
                <w:color w:val="505050"/>
                <w:lang w:bidi="ar"/>
              </w:rPr>
              <w:t xml:space="preserve"> DN1200</w:t>
            </w:r>
            <w:r>
              <w:rPr>
                <w:rFonts w:ascii="仿宋" w:eastAsia="仿宋" w:hAnsi="仿宋" w:cs="仿宋" w:hint="eastAsia"/>
                <w:color w:val="505050"/>
                <w:lang w:bidi="ar"/>
              </w:rPr>
              <w:t>，柔性接口Ⅱ级以上）</w:t>
            </w: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1</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昆山巴城水泥制品有限公司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2</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苏州市江枫建材水泥制品有限公司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3</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嘉善云</w:t>
            </w:r>
            <w:proofErr w:type="gramStart"/>
            <w:r>
              <w:rPr>
                <w:rFonts w:ascii="仿宋" w:eastAsia="仿宋" w:hAnsi="仿宋" w:cs="仿宋" w:hint="eastAsia"/>
                <w:color w:val="505050"/>
                <w:lang w:bidi="ar"/>
              </w:rPr>
              <w:t>峰大型</w:t>
            </w:r>
            <w:proofErr w:type="gramEnd"/>
            <w:r>
              <w:rPr>
                <w:rFonts w:ascii="仿宋" w:eastAsia="仿宋" w:hAnsi="仿宋" w:cs="仿宋" w:hint="eastAsia"/>
                <w:color w:val="505050"/>
                <w:lang w:bidi="ar"/>
              </w:rPr>
              <w:t>构件有限公司</w:t>
            </w:r>
          </w:p>
        </w:tc>
      </w:tr>
      <w:tr w:rsidR="00283E45" w:rsidTr="00F56EA1">
        <w:trPr>
          <w:jc w:val="center"/>
        </w:trPr>
        <w:tc>
          <w:tcPr>
            <w:tcW w:w="4084" w:type="dxa"/>
            <w:vMerge w:val="restart"/>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19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color w:val="505050"/>
                <w:lang w:bidi="ar"/>
              </w:rPr>
              <w:t>HDPE</w:t>
            </w:r>
            <w:r>
              <w:rPr>
                <w:rFonts w:ascii="宋体" w:hAnsi="宋体" w:cs="宋体" w:hint="eastAsia"/>
                <w:color w:val="505050"/>
                <w:lang w:bidi="ar"/>
              </w:rPr>
              <w:t> </w:t>
            </w:r>
            <w:r>
              <w:rPr>
                <w:rFonts w:ascii="仿宋" w:eastAsia="仿宋" w:hAnsi="仿宋" w:cs="仿宋" w:hint="eastAsia"/>
                <w:color w:val="505050"/>
                <w:lang w:bidi="ar"/>
              </w:rPr>
              <w:t>缠绕管</w:t>
            </w: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1</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江苏通全球工程管业有限公司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2</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杭州市</w:t>
            </w:r>
            <w:proofErr w:type="gramStart"/>
            <w:r>
              <w:rPr>
                <w:rFonts w:ascii="仿宋" w:eastAsia="仿宋" w:hAnsi="仿宋" w:cs="仿宋" w:hint="eastAsia"/>
                <w:color w:val="505050"/>
                <w:lang w:bidi="ar"/>
              </w:rPr>
              <w:t>邦</w:t>
            </w:r>
            <w:proofErr w:type="gramEnd"/>
            <w:r>
              <w:rPr>
                <w:rFonts w:ascii="仿宋" w:eastAsia="仿宋" w:hAnsi="仿宋" w:cs="仿宋" w:hint="eastAsia"/>
                <w:color w:val="505050"/>
                <w:lang w:bidi="ar"/>
              </w:rPr>
              <w:t>德市政塑管有限公司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3</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江苏欧萨管业有限公司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4</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嘉善浙东塑料管业有限公司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5</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杭州易时通管业有限公司</w:t>
            </w:r>
          </w:p>
        </w:tc>
      </w:tr>
      <w:tr w:rsidR="00283E45" w:rsidTr="00F56EA1">
        <w:trPr>
          <w:jc w:val="center"/>
        </w:trPr>
        <w:tc>
          <w:tcPr>
            <w:tcW w:w="4084" w:type="dxa"/>
            <w:vMerge w:val="restart"/>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3"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color w:val="505050"/>
                <w:lang w:bidi="ar"/>
              </w:rPr>
              <w:t>HDPE</w:t>
            </w:r>
            <w:r>
              <w:rPr>
                <w:rFonts w:ascii="宋体" w:hAnsi="宋体" w:cs="宋体" w:hint="eastAsia"/>
                <w:color w:val="505050"/>
                <w:lang w:bidi="ar"/>
              </w:rPr>
              <w:t> </w:t>
            </w:r>
            <w:r>
              <w:rPr>
                <w:rFonts w:ascii="仿宋" w:eastAsia="仿宋" w:hAnsi="仿宋" w:cs="仿宋" w:hint="eastAsia"/>
                <w:color w:val="505050"/>
                <w:lang w:bidi="ar"/>
              </w:rPr>
              <w:t>双壁波纹管</w:t>
            </w: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1</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安徽国通高新管业股份有限公司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2</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浙江伟星新型建材股份有限公司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3</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江阴市</w:t>
            </w:r>
            <w:proofErr w:type="gramStart"/>
            <w:r>
              <w:rPr>
                <w:rFonts w:ascii="仿宋" w:eastAsia="仿宋" w:hAnsi="仿宋" w:cs="仿宋" w:hint="eastAsia"/>
                <w:color w:val="505050"/>
                <w:lang w:bidi="ar"/>
              </w:rPr>
              <w:t>银达来塑料</w:t>
            </w:r>
            <w:proofErr w:type="gramEnd"/>
            <w:r>
              <w:rPr>
                <w:rFonts w:ascii="仿宋" w:eastAsia="仿宋" w:hAnsi="仿宋" w:cs="仿宋" w:hint="eastAsia"/>
                <w:color w:val="505050"/>
                <w:lang w:bidi="ar"/>
              </w:rPr>
              <w:t>制品有限公司</w:t>
            </w:r>
          </w:p>
        </w:tc>
      </w:tr>
      <w:tr w:rsidR="00283E45" w:rsidTr="00F56EA1">
        <w:trPr>
          <w:jc w:val="center"/>
        </w:trPr>
        <w:tc>
          <w:tcPr>
            <w:tcW w:w="4084" w:type="dxa"/>
            <w:vMerge w:val="restart"/>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lastRenderedPageBreak/>
              <w:t> </w:t>
            </w:r>
          </w:p>
          <w:p w:rsidR="00283E45" w:rsidRDefault="00283E45" w:rsidP="00F56EA1">
            <w:pPr>
              <w:pStyle w:val="a5"/>
              <w:widowControl/>
              <w:topLinePunct/>
              <w:snapToGrid w:val="0"/>
              <w:spacing w:before="7"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1"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color w:val="505050"/>
                <w:lang w:bidi="ar"/>
              </w:rPr>
              <w:t>PE</w:t>
            </w:r>
            <w:r>
              <w:rPr>
                <w:rFonts w:ascii="宋体" w:hAnsi="宋体" w:cs="宋体" w:hint="eastAsia"/>
                <w:color w:val="505050"/>
                <w:lang w:bidi="ar"/>
              </w:rPr>
              <w:t> </w:t>
            </w:r>
            <w:r>
              <w:rPr>
                <w:rFonts w:ascii="仿宋" w:eastAsia="仿宋" w:hAnsi="仿宋" w:cs="仿宋" w:hint="eastAsia"/>
                <w:color w:val="505050"/>
                <w:lang w:bidi="ar"/>
              </w:rPr>
              <w:t>直壁管</w:t>
            </w:r>
          </w:p>
          <w:p w:rsidR="00283E45" w:rsidRDefault="00283E45" w:rsidP="00F56EA1">
            <w:pPr>
              <w:pStyle w:val="a5"/>
              <w:widowControl/>
              <w:topLinePunct/>
              <w:snapToGrid w:val="0"/>
              <w:spacing w:before="4"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w:t>
            </w:r>
            <w:r>
              <w:rPr>
                <w:rFonts w:ascii="仿宋" w:eastAsia="仿宋" w:hAnsi="仿宋" w:cs="仿宋"/>
                <w:color w:val="505050"/>
                <w:lang w:bidi="ar"/>
              </w:rPr>
              <w:t>PE100</w:t>
            </w:r>
            <w:r>
              <w:rPr>
                <w:rFonts w:ascii="仿宋" w:eastAsia="仿宋" w:hAnsi="仿宋" w:cs="仿宋" w:hint="eastAsia"/>
                <w:color w:val="505050"/>
                <w:lang w:bidi="ar"/>
              </w:rPr>
              <w:t>，拖管用）</w:t>
            </w: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lastRenderedPageBreak/>
              <w:t>1</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浙江中财管道科技股份有限公司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2</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安徽国通高新管业股份有限公司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3</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江苏星河集团有限公司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4</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杭州</w:t>
            </w:r>
            <w:proofErr w:type="gramStart"/>
            <w:r>
              <w:rPr>
                <w:rFonts w:ascii="仿宋" w:eastAsia="仿宋" w:hAnsi="仿宋" w:cs="仿宋" w:hint="eastAsia"/>
                <w:color w:val="505050"/>
                <w:lang w:bidi="ar"/>
              </w:rPr>
              <w:t>联通管</w:t>
            </w:r>
            <w:proofErr w:type="gramEnd"/>
            <w:r>
              <w:rPr>
                <w:rFonts w:ascii="仿宋" w:eastAsia="仿宋" w:hAnsi="仿宋" w:cs="仿宋" w:hint="eastAsia"/>
                <w:color w:val="505050"/>
                <w:lang w:bidi="ar"/>
              </w:rPr>
              <w:t>业有限公司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5</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上海公元建材发展有限公司</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6</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江阴华</w:t>
            </w:r>
            <w:proofErr w:type="gramStart"/>
            <w:r>
              <w:rPr>
                <w:rFonts w:ascii="仿宋" w:eastAsia="仿宋" w:hAnsi="仿宋" w:cs="仿宋" w:hint="eastAsia"/>
                <w:color w:val="505050"/>
                <w:lang w:bidi="ar"/>
              </w:rPr>
              <w:t>塑科技</w:t>
            </w:r>
            <w:proofErr w:type="gramEnd"/>
            <w:r>
              <w:rPr>
                <w:rFonts w:ascii="仿宋" w:eastAsia="仿宋" w:hAnsi="仿宋" w:cs="仿宋" w:hint="eastAsia"/>
                <w:color w:val="505050"/>
                <w:lang w:bidi="ar"/>
              </w:rPr>
              <w:t>有限公司</w:t>
            </w:r>
          </w:p>
        </w:tc>
      </w:tr>
      <w:tr w:rsidR="00283E45" w:rsidTr="00F56EA1">
        <w:trPr>
          <w:jc w:val="center"/>
        </w:trPr>
        <w:tc>
          <w:tcPr>
            <w:tcW w:w="4084" w:type="dxa"/>
            <w:vMerge w:val="restart"/>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0"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1"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 </w:t>
            </w:r>
          </w:p>
          <w:p w:rsidR="00283E45" w:rsidRDefault="00283E45" w:rsidP="00F56EA1">
            <w:pPr>
              <w:pStyle w:val="a5"/>
              <w:widowControl/>
              <w:topLinePunct/>
              <w:snapToGrid w:val="0"/>
              <w:spacing w:before="1"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钢纤维井盖、井座；</w:t>
            </w:r>
          </w:p>
          <w:p w:rsidR="00283E45" w:rsidRDefault="00283E45" w:rsidP="00F56EA1">
            <w:pPr>
              <w:pStyle w:val="a5"/>
              <w:widowControl/>
              <w:topLinePunct/>
              <w:snapToGrid w:val="0"/>
              <w:spacing w:before="1"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复合材料井盖、井座</w:t>
            </w: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1</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5"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句容市科达技术开发有限公司（钢纤维）</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2</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苏州市江枫建材水泥制品有限公司（钢纤维）</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3</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7"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吴江</w:t>
            </w:r>
            <w:proofErr w:type="gramStart"/>
            <w:r>
              <w:rPr>
                <w:rFonts w:ascii="仿宋" w:eastAsia="仿宋" w:hAnsi="仿宋" w:cs="仿宋" w:hint="eastAsia"/>
                <w:color w:val="505050"/>
                <w:lang w:bidi="ar"/>
              </w:rPr>
              <w:t>市宏诚复合</w:t>
            </w:r>
            <w:proofErr w:type="gramEnd"/>
            <w:r>
              <w:rPr>
                <w:rFonts w:ascii="仿宋" w:eastAsia="仿宋" w:hAnsi="仿宋" w:cs="仿宋" w:hint="eastAsia"/>
                <w:color w:val="505050"/>
                <w:lang w:bidi="ar"/>
              </w:rPr>
              <w:t>制品厂（复合</w:t>
            </w:r>
            <w:r>
              <w:rPr>
                <w:rFonts w:ascii="仿宋" w:eastAsia="仿宋" w:hAnsi="仿宋" w:cs="仿宋"/>
                <w:color w:val="505050"/>
                <w:lang w:bidi="ar"/>
              </w:rPr>
              <w:t>/</w:t>
            </w:r>
            <w:r>
              <w:rPr>
                <w:rFonts w:ascii="仿宋" w:eastAsia="仿宋" w:hAnsi="仿宋" w:cs="仿宋" w:hint="eastAsia"/>
                <w:color w:val="505050"/>
                <w:lang w:bidi="ar"/>
              </w:rPr>
              <w:t>钢纤维）</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4</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浙江飞鱼实业有限公司（复合）</w:t>
            </w:r>
          </w:p>
        </w:tc>
      </w:tr>
      <w:tr w:rsidR="00283E45" w:rsidTr="00F56EA1">
        <w:trPr>
          <w:jc w:val="center"/>
        </w:trPr>
        <w:tc>
          <w:tcPr>
            <w:tcW w:w="4084" w:type="dxa"/>
            <w:vMerge/>
            <w:tcBorders>
              <w:top w:val="nil"/>
              <w:left w:val="single" w:sz="8" w:space="0" w:color="000000"/>
              <w:bottom w:val="single" w:sz="8" w:space="0" w:color="000000"/>
              <w:right w:val="single" w:sz="8" w:space="0" w:color="000000"/>
            </w:tcBorders>
            <w:shd w:val="clear" w:color="auto" w:fill="FFFFFF"/>
            <w:vAlign w:val="center"/>
          </w:tcPr>
          <w:p w:rsidR="00283E45" w:rsidRDefault="00283E45" w:rsidP="00F56EA1">
            <w:pPr>
              <w:widowControl/>
              <w:topLinePunct/>
              <w:snapToGrid w:val="0"/>
              <w:spacing w:line="560" w:lineRule="exact"/>
              <w:jc w:val="left"/>
              <w:rPr>
                <w:rFonts w:ascii="仿宋" w:eastAsia="仿宋" w:hAnsi="宋体" w:cs="宋体"/>
                <w:sz w:val="24"/>
              </w:rPr>
            </w:pPr>
          </w:p>
        </w:tc>
        <w:tc>
          <w:tcPr>
            <w:tcW w:w="715"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jc w:val="center"/>
              <w:textAlignment w:val="baseline"/>
              <w:rPr>
                <w:rFonts w:ascii="仿宋" w:eastAsia="仿宋" w:hAnsi="仿宋" w:cs="仿宋"/>
                <w:color w:val="505050"/>
                <w:szCs w:val="21"/>
                <w:lang w:bidi="ar"/>
              </w:rPr>
            </w:pPr>
            <w:r>
              <w:rPr>
                <w:rFonts w:ascii="仿宋" w:eastAsia="仿宋" w:hAnsi="仿宋" w:cs="仿宋"/>
                <w:color w:val="505050"/>
                <w:lang w:bidi="ar"/>
              </w:rPr>
              <w:t>5</w:t>
            </w:r>
          </w:p>
        </w:tc>
        <w:tc>
          <w:tcPr>
            <w:tcW w:w="3723" w:type="dxa"/>
            <w:tcBorders>
              <w:top w:val="nil"/>
              <w:left w:val="nil"/>
              <w:bottom w:val="single" w:sz="8" w:space="0" w:color="000000"/>
              <w:right w:val="single" w:sz="8" w:space="0" w:color="000000"/>
            </w:tcBorders>
            <w:shd w:val="clear" w:color="auto" w:fill="FFFFFF"/>
            <w:vAlign w:val="center"/>
          </w:tcPr>
          <w:p w:rsidR="00283E45" w:rsidRDefault="00283E45" w:rsidP="00F56EA1">
            <w:pPr>
              <w:pStyle w:val="a5"/>
              <w:widowControl/>
              <w:topLinePunct/>
              <w:snapToGrid w:val="0"/>
              <w:spacing w:before="96" w:beforeAutospacing="0" w:after="0" w:afterAutospacing="0" w:line="560" w:lineRule="exact"/>
              <w:textAlignment w:val="baseline"/>
              <w:rPr>
                <w:rFonts w:ascii="仿宋" w:eastAsia="仿宋" w:hAnsi="仿宋" w:cs="仿宋"/>
                <w:color w:val="505050"/>
                <w:szCs w:val="21"/>
                <w:lang w:bidi="ar"/>
              </w:rPr>
            </w:pPr>
            <w:r>
              <w:rPr>
                <w:rFonts w:ascii="仿宋" w:eastAsia="仿宋" w:hAnsi="仿宋" w:cs="仿宋" w:hint="eastAsia"/>
                <w:color w:val="505050"/>
                <w:lang w:bidi="ar"/>
              </w:rPr>
              <w:t>杭州天目山道路设施有限公司（复合）</w:t>
            </w:r>
          </w:p>
        </w:tc>
      </w:tr>
    </w:tbl>
    <w:p w:rsidR="002E0A40" w:rsidRPr="00283E45" w:rsidRDefault="002E0A40"/>
    <w:sectPr w:rsidR="002E0A40" w:rsidRPr="00283E45" w:rsidSect="00283E45">
      <w:footerReference w:type="even" r:id="rId7"/>
      <w:footerReference w:type="default" r:id="rId8"/>
      <w:pgSz w:w="11906" w:h="16838"/>
      <w:pgMar w:top="2098" w:right="1474" w:bottom="1984" w:left="1587"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770" w:rsidRDefault="00D21770" w:rsidP="00283E45">
      <w:r>
        <w:separator/>
      </w:r>
    </w:p>
  </w:endnote>
  <w:endnote w:type="continuationSeparator" w:id="0">
    <w:p w:rsidR="00D21770" w:rsidRDefault="00D21770" w:rsidP="00283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方正小标宋_GBK"/>
    <w:panose1 w:val="03000509000000000000"/>
    <w:charset w:val="86"/>
    <w:family w:val="script"/>
    <w:pitch w:val="fixed"/>
    <w:sig w:usb0="00000001" w:usb1="080E0000" w:usb2="00000010" w:usb3="00000000" w:csb0="00040000" w:csb1="00000000"/>
  </w:font>
  <w:font w:name="仿宋_GB2312">
    <w:altName w:val="仿宋_GB2312"/>
    <w:panose1 w:val="02010609030101010101"/>
    <w:charset w:val="86"/>
    <w:family w:val="modern"/>
    <w:pitch w:val="fixed"/>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eastAsia="宋体" w:hAnsi="宋体"/>
        <w:sz w:val="28"/>
        <w:szCs w:val="28"/>
      </w:rPr>
      <w:id w:val="1435637132"/>
      <w:docPartObj>
        <w:docPartGallery w:val="Page Numbers (Bottom of Page)"/>
        <w:docPartUnique/>
      </w:docPartObj>
    </w:sdtPr>
    <w:sdtEndPr/>
    <w:sdtContent>
      <w:p w:rsidR="00283E45" w:rsidRPr="00283E45" w:rsidRDefault="00283E45" w:rsidP="00283E45">
        <w:pPr>
          <w:pStyle w:val="a4"/>
          <w:rPr>
            <w:rFonts w:ascii="宋体" w:eastAsia="宋体" w:hAnsi="宋体"/>
            <w:sz w:val="28"/>
            <w:szCs w:val="28"/>
          </w:rPr>
        </w:pPr>
        <w:r w:rsidRPr="00283E45">
          <w:rPr>
            <w:rFonts w:ascii="宋体" w:eastAsia="宋体" w:hAnsi="宋体"/>
            <w:sz w:val="28"/>
            <w:szCs w:val="28"/>
          </w:rPr>
          <w:fldChar w:fldCharType="begin"/>
        </w:r>
        <w:r w:rsidRPr="00283E45">
          <w:rPr>
            <w:rFonts w:ascii="宋体" w:eastAsia="宋体" w:hAnsi="宋体"/>
            <w:sz w:val="28"/>
            <w:szCs w:val="28"/>
          </w:rPr>
          <w:instrText>PAGE   \* MERGEFORMAT</w:instrText>
        </w:r>
        <w:r w:rsidRPr="00283E45">
          <w:rPr>
            <w:rFonts w:ascii="宋体" w:eastAsia="宋体" w:hAnsi="宋体"/>
            <w:sz w:val="28"/>
            <w:szCs w:val="28"/>
          </w:rPr>
          <w:fldChar w:fldCharType="separate"/>
        </w:r>
        <w:r w:rsidR="00292B4B" w:rsidRPr="00292B4B">
          <w:rPr>
            <w:rFonts w:ascii="宋体" w:eastAsia="宋体" w:hAnsi="宋体"/>
            <w:noProof/>
            <w:sz w:val="28"/>
            <w:szCs w:val="28"/>
            <w:lang w:val="zh-CN"/>
          </w:rPr>
          <w:t>-</w:t>
        </w:r>
        <w:r w:rsidR="00292B4B">
          <w:rPr>
            <w:rFonts w:ascii="宋体" w:eastAsia="宋体" w:hAnsi="宋体"/>
            <w:noProof/>
            <w:sz w:val="28"/>
            <w:szCs w:val="28"/>
          </w:rPr>
          <w:t xml:space="preserve"> 4 -</w:t>
        </w:r>
        <w:r w:rsidRPr="00283E45">
          <w:rPr>
            <w:rFonts w:ascii="宋体" w:eastAsia="宋体" w:hAnsi="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eastAsia="宋体" w:hAnsi="宋体"/>
        <w:sz w:val="28"/>
        <w:szCs w:val="28"/>
      </w:rPr>
      <w:id w:val="-133094494"/>
      <w:docPartObj>
        <w:docPartGallery w:val="Page Numbers (Bottom of Page)"/>
        <w:docPartUnique/>
      </w:docPartObj>
    </w:sdtPr>
    <w:sdtEndPr/>
    <w:sdtContent>
      <w:p w:rsidR="00283E45" w:rsidRPr="00283E45" w:rsidRDefault="00283E45" w:rsidP="00283E45">
        <w:pPr>
          <w:pStyle w:val="a4"/>
          <w:jc w:val="right"/>
          <w:rPr>
            <w:rFonts w:ascii="宋体" w:eastAsia="宋体" w:hAnsi="宋体"/>
            <w:sz w:val="28"/>
            <w:szCs w:val="28"/>
          </w:rPr>
        </w:pPr>
        <w:r w:rsidRPr="00283E45">
          <w:rPr>
            <w:rFonts w:ascii="宋体" w:eastAsia="宋体" w:hAnsi="宋体"/>
            <w:sz w:val="28"/>
            <w:szCs w:val="28"/>
          </w:rPr>
          <w:fldChar w:fldCharType="begin"/>
        </w:r>
        <w:r w:rsidRPr="00283E45">
          <w:rPr>
            <w:rFonts w:ascii="宋体" w:eastAsia="宋体" w:hAnsi="宋体"/>
            <w:sz w:val="28"/>
            <w:szCs w:val="28"/>
          </w:rPr>
          <w:instrText>PAGE   \* MERGEFORMAT</w:instrText>
        </w:r>
        <w:r w:rsidRPr="00283E45">
          <w:rPr>
            <w:rFonts w:ascii="宋体" w:eastAsia="宋体" w:hAnsi="宋体"/>
            <w:sz w:val="28"/>
            <w:szCs w:val="28"/>
          </w:rPr>
          <w:fldChar w:fldCharType="separate"/>
        </w:r>
        <w:r w:rsidR="00292B4B" w:rsidRPr="00292B4B">
          <w:rPr>
            <w:rFonts w:ascii="宋体" w:eastAsia="宋体" w:hAnsi="宋体"/>
            <w:noProof/>
            <w:sz w:val="28"/>
            <w:szCs w:val="28"/>
            <w:lang w:val="zh-CN"/>
          </w:rPr>
          <w:t>-</w:t>
        </w:r>
        <w:r w:rsidR="00292B4B">
          <w:rPr>
            <w:rFonts w:ascii="宋体" w:eastAsia="宋体" w:hAnsi="宋体"/>
            <w:noProof/>
            <w:sz w:val="28"/>
            <w:szCs w:val="28"/>
          </w:rPr>
          <w:t xml:space="preserve"> 5 -</w:t>
        </w:r>
        <w:r w:rsidRPr="00283E45">
          <w:rPr>
            <w:rFonts w:ascii="宋体" w:eastAsia="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770" w:rsidRDefault="00D21770" w:rsidP="00283E45">
      <w:r>
        <w:separator/>
      </w:r>
    </w:p>
  </w:footnote>
  <w:footnote w:type="continuationSeparator" w:id="0">
    <w:p w:rsidR="00D21770" w:rsidRDefault="00D21770" w:rsidP="00283E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220"/>
  <w:drawingGridVerticalSpacing w:val="299"/>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B81"/>
    <w:rsid w:val="001F7FEB"/>
    <w:rsid w:val="002031D2"/>
    <w:rsid w:val="002368D4"/>
    <w:rsid w:val="002529F8"/>
    <w:rsid w:val="00283E45"/>
    <w:rsid w:val="00292B4B"/>
    <w:rsid w:val="002E0A40"/>
    <w:rsid w:val="00321827"/>
    <w:rsid w:val="0055263E"/>
    <w:rsid w:val="007E7B81"/>
    <w:rsid w:val="00D2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E4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83E4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83E45"/>
    <w:rPr>
      <w:sz w:val="18"/>
      <w:szCs w:val="18"/>
    </w:rPr>
  </w:style>
  <w:style w:type="paragraph" w:styleId="a4">
    <w:name w:val="footer"/>
    <w:basedOn w:val="a"/>
    <w:link w:val="Char0"/>
    <w:uiPriority w:val="99"/>
    <w:unhideWhenUsed/>
    <w:rsid w:val="00283E4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83E45"/>
    <w:rPr>
      <w:sz w:val="18"/>
      <w:szCs w:val="18"/>
    </w:rPr>
  </w:style>
  <w:style w:type="paragraph" w:styleId="a5">
    <w:name w:val="Normal (Web)"/>
    <w:basedOn w:val="a"/>
    <w:uiPriority w:val="99"/>
    <w:rsid w:val="00283E45"/>
    <w:pPr>
      <w:spacing w:before="100" w:beforeAutospacing="1" w:after="100" w:afterAutospacing="1"/>
      <w:jc w:val="left"/>
    </w:pPr>
    <w:rPr>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E4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83E4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83E45"/>
    <w:rPr>
      <w:sz w:val="18"/>
      <w:szCs w:val="18"/>
    </w:rPr>
  </w:style>
  <w:style w:type="paragraph" w:styleId="a4">
    <w:name w:val="footer"/>
    <w:basedOn w:val="a"/>
    <w:link w:val="Char0"/>
    <w:uiPriority w:val="99"/>
    <w:unhideWhenUsed/>
    <w:rsid w:val="00283E4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83E45"/>
    <w:rPr>
      <w:sz w:val="18"/>
      <w:szCs w:val="18"/>
    </w:rPr>
  </w:style>
  <w:style w:type="paragraph" w:styleId="a5">
    <w:name w:val="Normal (Web)"/>
    <w:basedOn w:val="a"/>
    <w:uiPriority w:val="99"/>
    <w:rsid w:val="00283E45"/>
    <w:pPr>
      <w:spacing w:before="100" w:beforeAutospacing="1" w:after="100"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2026-07-30T08:00:00Z</dcterms:created>
  <dcterms:modified xsi:type="dcterms:W3CDTF">2026-07-30T08:26:00Z</dcterms:modified>
</cp:coreProperties>
</file>