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7EE02">
      <w:pPr>
        <w:spacing w:line="640" w:lineRule="exact"/>
        <w:jc w:val="center"/>
        <w:rPr>
          <w:rFonts w:ascii="方正小标宋简体" w:hAnsi="方正小标宋简体" w:eastAsia="方正小标宋简体" w:cs="方正小标宋简体"/>
          <w:b/>
          <w:sz w:val="36"/>
          <w:szCs w:val="36"/>
          <w:highlight w:val="none"/>
        </w:rPr>
      </w:pPr>
      <w:bookmarkStart w:id="0" w:name="_GoBack"/>
      <w:bookmarkEnd w:id="0"/>
    </w:p>
    <w:p w14:paraId="00416E8D">
      <w:pPr>
        <w:spacing w:line="640" w:lineRule="exact"/>
        <w:jc w:val="center"/>
        <w:rPr>
          <w:rFonts w:ascii="方正小标宋简体" w:hAnsi="方正小标宋简体" w:eastAsia="方正小标宋简体" w:cs="方正小标宋简体"/>
          <w:b/>
          <w:sz w:val="36"/>
          <w:szCs w:val="36"/>
          <w:highlight w:val="none"/>
        </w:rPr>
      </w:pPr>
      <w:r>
        <w:rPr>
          <w:rFonts w:hint="eastAsia" w:ascii="方正小标宋简体" w:hAnsi="方正小标宋简体" w:eastAsia="方正小标宋简体" w:cs="方正小标宋简体"/>
          <w:b/>
          <w:sz w:val="36"/>
          <w:szCs w:val="36"/>
          <w:highlight w:val="none"/>
        </w:rPr>
        <w:t>苏州市吴江区202</w:t>
      </w:r>
      <w:r>
        <w:rPr>
          <w:rFonts w:hint="eastAsia" w:ascii="方正小标宋简体" w:hAnsi="方正小标宋简体" w:eastAsia="方正小标宋简体" w:cs="方正小标宋简体"/>
          <w:b/>
          <w:sz w:val="36"/>
          <w:szCs w:val="36"/>
          <w:highlight w:val="none"/>
          <w:lang w:val="en-US" w:eastAsia="zh-CN"/>
        </w:rPr>
        <w:t>6</w:t>
      </w:r>
      <w:r>
        <w:rPr>
          <w:rFonts w:hint="eastAsia" w:ascii="方正小标宋简体" w:hAnsi="方正小标宋简体" w:eastAsia="方正小标宋简体" w:cs="方正小标宋简体"/>
          <w:b/>
          <w:sz w:val="36"/>
          <w:szCs w:val="36"/>
          <w:highlight w:val="none"/>
        </w:rPr>
        <w:t>-0</w:t>
      </w:r>
      <w:r>
        <w:rPr>
          <w:rFonts w:hint="eastAsia" w:ascii="方正小标宋简体" w:hAnsi="方正小标宋简体" w:eastAsia="方正小标宋简体" w:cs="方正小标宋简体"/>
          <w:b/>
          <w:sz w:val="36"/>
          <w:szCs w:val="36"/>
          <w:highlight w:val="none"/>
          <w:lang w:val="en-US" w:eastAsia="zh-CN"/>
        </w:rPr>
        <w:t>3</w:t>
      </w:r>
      <w:r>
        <w:rPr>
          <w:rFonts w:hint="eastAsia" w:ascii="方正小标宋简体" w:hAnsi="方正小标宋简体" w:eastAsia="方正小标宋简体" w:cs="方正小标宋简体"/>
          <w:b/>
          <w:sz w:val="36"/>
          <w:szCs w:val="36"/>
          <w:highlight w:val="none"/>
        </w:rPr>
        <w:t>号土地征收成片开发方案</w:t>
      </w:r>
    </w:p>
    <w:p w14:paraId="0B3AA9E2">
      <w:pPr>
        <w:spacing w:line="640" w:lineRule="exact"/>
        <w:jc w:val="center"/>
        <w:rPr>
          <w:rFonts w:ascii="方正小标宋简体" w:hAnsi="方正小标宋简体" w:eastAsia="方正小标宋简体" w:cs="方正小标宋简体"/>
          <w:b/>
          <w:sz w:val="36"/>
          <w:szCs w:val="36"/>
          <w:highlight w:val="none"/>
        </w:rPr>
      </w:pPr>
      <w:r>
        <w:rPr>
          <w:rFonts w:hint="eastAsia" w:ascii="方正小标宋简体" w:hAnsi="方正小标宋简体" w:eastAsia="方正小标宋简体" w:cs="方正小标宋简体"/>
          <w:b/>
          <w:sz w:val="36"/>
          <w:szCs w:val="36"/>
          <w:highlight w:val="none"/>
        </w:rPr>
        <w:t>（征求意见稿）主要内容</w:t>
      </w:r>
    </w:p>
    <w:p w14:paraId="42EF70DA">
      <w:pPr>
        <w:pStyle w:val="2"/>
        <w:spacing w:line="580" w:lineRule="exact"/>
        <w:rPr>
          <w:rFonts w:ascii="Times New Roman" w:hAnsi="Times New Roman" w:eastAsia="仿宋_GB2312" w:cs="Times New Roman"/>
          <w:bCs/>
          <w:szCs w:val="32"/>
          <w:highlight w:val="none"/>
        </w:rPr>
      </w:pPr>
      <w:r>
        <w:rPr>
          <w:rFonts w:ascii="Times New Roman" w:hAnsi="Times New Roman" w:eastAsia="仿宋_GB2312" w:cs="Times New Roman"/>
          <w:bCs/>
          <w:szCs w:val="32"/>
          <w:highlight w:val="none"/>
        </w:rPr>
        <w:t>一、基本情况</w:t>
      </w:r>
    </w:p>
    <w:p w14:paraId="27C360B2">
      <w:pPr>
        <w:pStyle w:val="12"/>
        <w:spacing w:line="580" w:lineRule="exact"/>
        <w:ind w:firstLine="640" w:firstLineChars="200"/>
        <w:rPr>
          <w:rFonts w:ascii="Times New Roman" w:hAnsi="Times New Roman" w:eastAsia="仿宋_GB2312"/>
          <w:color w:val="000000"/>
          <w:kern w:val="0"/>
          <w:sz w:val="32"/>
          <w:szCs w:val="32"/>
          <w:highlight w:val="none"/>
        </w:rPr>
      </w:pPr>
      <w:r>
        <w:rPr>
          <w:rFonts w:ascii="Times New Roman" w:hAnsi="Times New Roman" w:eastAsia="仿宋_GB2312"/>
          <w:color w:val="000000"/>
          <w:kern w:val="0"/>
          <w:sz w:val="32"/>
          <w:szCs w:val="32"/>
          <w:highlight w:val="none"/>
        </w:rPr>
        <w:t>本方案</w:t>
      </w:r>
      <w:r>
        <w:rPr>
          <w:rFonts w:hint="eastAsia" w:ascii="Times New Roman" w:hAnsi="Times New Roman" w:eastAsia="仿宋_GB2312"/>
          <w:color w:val="000000"/>
          <w:kern w:val="0"/>
          <w:sz w:val="32"/>
          <w:szCs w:val="32"/>
          <w:highlight w:val="none"/>
        </w:rPr>
        <w:t>共1个片区</w:t>
      </w:r>
      <w:r>
        <w:rPr>
          <w:rFonts w:hint="eastAsia" w:ascii="Times New Roman" w:hAnsi="Times New Roman" w:eastAsia="仿宋_GB2312"/>
          <w:color w:val="000000"/>
          <w:kern w:val="0"/>
          <w:sz w:val="32"/>
          <w:szCs w:val="32"/>
          <w:highlight w:val="none"/>
          <w:lang w:val="en-US" w:eastAsia="zh-CN"/>
        </w:rPr>
        <w:t>位于</w:t>
      </w:r>
      <w:r>
        <w:rPr>
          <w:rFonts w:hint="eastAsia" w:ascii="Times New Roman" w:hAnsi="Times New Roman" w:eastAsia="仿宋_GB2312"/>
          <w:color w:val="000000"/>
          <w:kern w:val="0"/>
          <w:sz w:val="32"/>
          <w:szCs w:val="32"/>
          <w:highlight w:val="none"/>
        </w:rPr>
        <w:t>苏州市吴江区黎里镇</w:t>
      </w:r>
      <w:r>
        <w:rPr>
          <w:rFonts w:hint="eastAsia" w:ascii="Times New Roman" w:hAnsi="Times New Roman" w:eastAsia="仿宋_GB2312"/>
          <w:color w:val="000000"/>
          <w:kern w:val="0"/>
          <w:sz w:val="32"/>
          <w:szCs w:val="32"/>
          <w:highlight w:val="none"/>
          <w:lang w:eastAsia="zh-CN"/>
        </w:rPr>
        <w:t>，</w:t>
      </w:r>
      <w:r>
        <w:rPr>
          <w:rFonts w:hint="eastAsia" w:ascii="Times New Roman" w:hAnsi="Times New Roman" w:eastAsia="仿宋_GB2312"/>
          <w:color w:val="000000"/>
          <w:kern w:val="0"/>
          <w:sz w:val="32"/>
          <w:szCs w:val="32"/>
          <w:highlight w:val="none"/>
          <w:lang w:val="en-US" w:eastAsia="zh-CN"/>
        </w:rPr>
        <w:t>为</w:t>
      </w:r>
      <w:r>
        <w:rPr>
          <w:rFonts w:hint="eastAsia" w:ascii="Times New Roman" w:hAnsi="Times New Roman" w:eastAsia="仿宋_GB2312"/>
          <w:color w:val="000000"/>
          <w:kern w:val="0"/>
          <w:sz w:val="32"/>
          <w:szCs w:val="32"/>
          <w:highlight w:val="none"/>
        </w:rPr>
        <w:t>汾杨路北侧元鹤荡路东侧片区（CP320509-2026-0</w:t>
      </w:r>
      <w:r>
        <w:rPr>
          <w:rFonts w:hint="eastAsia" w:ascii="Times New Roman" w:hAnsi="Times New Roman" w:eastAsia="仿宋_GB2312"/>
          <w:color w:val="000000"/>
          <w:kern w:val="0"/>
          <w:sz w:val="32"/>
          <w:szCs w:val="32"/>
          <w:highlight w:val="none"/>
          <w:lang w:val="en-US" w:eastAsia="zh-CN"/>
        </w:rPr>
        <w:t>3</w:t>
      </w:r>
      <w:r>
        <w:rPr>
          <w:rFonts w:hint="eastAsia" w:ascii="Times New Roman" w:hAnsi="Times New Roman" w:eastAsia="仿宋_GB2312"/>
          <w:color w:val="000000"/>
          <w:kern w:val="0"/>
          <w:sz w:val="32"/>
          <w:szCs w:val="32"/>
          <w:highlight w:val="none"/>
        </w:rPr>
        <w:t>-01），片区总面积72.2527公顷，四至范围东至汾杨路，南至汾杨路，西至元鹤荡路，北至府时路高架（成片开发范围以最终批复为准）。周边基础设施较为完善，具备成片开发条件。</w:t>
      </w:r>
    </w:p>
    <w:p w14:paraId="7E22E9B0">
      <w:pPr>
        <w:pStyle w:val="2"/>
        <w:spacing w:line="580" w:lineRule="exact"/>
        <w:rPr>
          <w:rFonts w:ascii="Times New Roman" w:hAnsi="Times New Roman" w:eastAsia="仿宋_GB2312" w:cs="Times New Roman"/>
          <w:bCs/>
          <w:szCs w:val="32"/>
          <w:highlight w:val="none"/>
        </w:rPr>
      </w:pPr>
      <w:r>
        <w:rPr>
          <w:rFonts w:ascii="Times New Roman" w:hAnsi="Times New Roman" w:eastAsia="仿宋_GB2312" w:cs="Times New Roman"/>
          <w:bCs/>
          <w:szCs w:val="32"/>
          <w:highlight w:val="none"/>
        </w:rPr>
        <w:t>二、编制依据</w:t>
      </w:r>
    </w:p>
    <w:p w14:paraId="78344498">
      <w:pPr>
        <w:pStyle w:val="12"/>
        <w:spacing w:line="58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1.</w:t>
      </w:r>
      <w:r>
        <w:rPr>
          <w:rFonts w:hint="eastAsia" w:ascii="Times New Roman" w:hAnsi="Times New Roman" w:eastAsia="仿宋_GB2312"/>
          <w:color w:val="000000"/>
          <w:kern w:val="0"/>
          <w:sz w:val="32"/>
          <w:szCs w:val="32"/>
          <w:highlight w:val="none"/>
        </w:rPr>
        <w:t>《中华人民共和国土地管理法》；</w:t>
      </w:r>
    </w:p>
    <w:p w14:paraId="260707D5">
      <w:pPr>
        <w:pStyle w:val="12"/>
        <w:spacing w:line="58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2.</w:t>
      </w:r>
      <w:r>
        <w:rPr>
          <w:rFonts w:hint="eastAsia" w:ascii="Times New Roman" w:hAnsi="Times New Roman" w:eastAsia="仿宋_GB2312"/>
          <w:color w:val="000000"/>
          <w:kern w:val="0"/>
          <w:sz w:val="32"/>
          <w:szCs w:val="32"/>
          <w:highlight w:val="none"/>
        </w:rPr>
        <w:t>《自然资源部关于印发〈土地征收成片开发标准〉的通知》（自然资规〔2023〕7号）；</w:t>
      </w:r>
    </w:p>
    <w:p w14:paraId="5DA6D2A3">
      <w:pPr>
        <w:pStyle w:val="12"/>
        <w:spacing w:line="58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3.</w:t>
      </w:r>
      <w:r>
        <w:rPr>
          <w:rFonts w:hint="eastAsia" w:ascii="Times New Roman" w:hAnsi="Times New Roman" w:eastAsia="仿宋_GB2312"/>
          <w:color w:val="000000"/>
          <w:kern w:val="0"/>
          <w:sz w:val="32"/>
          <w:szCs w:val="32"/>
          <w:highlight w:val="none"/>
        </w:rPr>
        <w:t>《省政府关于印发江苏省被征地农民社会保障办法的通知》（苏政发〔2021〕87号）；</w:t>
      </w:r>
    </w:p>
    <w:p w14:paraId="3346D043">
      <w:pPr>
        <w:pStyle w:val="12"/>
        <w:spacing w:line="58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4.</w:t>
      </w:r>
      <w:r>
        <w:rPr>
          <w:rFonts w:hint="eastAsia" w:ascii="Times New Roman" w:hAnsi="Times New Roman" w:eastAsia="仿宋_GB2312"/>
          <w:color w:val="000000"/>
          <w:kern w:val="0"/>
          <w:sz w:val="32"/>
          <w:szCs w:val="32"/>
          <w:highlight w:val="none"/>
        </w:rPr>
        <w:t>《江苏省自然资源厅关于开展土地征收成片开发方案编制工作的通知》（苏自然资函〔2021〕15号）；</w:t>
      </w:r>
    </w:p>
    <w:p w14:paraId="0B70960F">
      <w:pPr>
        <w:pStyle w:val="12"/>
        <w:spacing w:line="58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5.</w:t>
      </w:r>
      <w:r>
        <w:rPr>
          <w:rFonts w:hint="eastAsia" w:ascii="Times New Roman" w:hAnsi="Times New Roman" w:eastAsia="仿宋_GB2312"/>
          <w:color w:val="000000"/>
          <w:kern w:val="0"/>
          <w:sz w:val="32"/>
          <w:szCs w:val="32"/>
          <w:highlight w:val="none"/>
        </w:rPr>
        <w:t>《江苏省自然资源厅关于加快推进土地征收成片开发方案编制工作的通知》（苏自然资发〔2021〕138号）；</w:t>
      </w:r>
    </w:p>
    <w:p w14:paraId="7D66DBE9">
      <w:pPr>
        <w:pStyle w:val="12"/>
        <w:spacing w:line="58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6.</w:t>
      </w:r>
      <w:r>
        <w:rPr>
          <w:rFonts w:hint="eastAsia" w:ascii="Times New Roman" w:hAnsi="Times New Roman" w:eastAsia="仿宋_GB2312"/>
          <w:color w:val="000000"/>
          <w:kern w:val="0"/>
          <w:sz w:val="32"/>
          <w:szCs w:val="32"/>
          <w:highlight w:val="none"/>
        </w:rPr>
        <w:t>《江苏省自然资源厅关于印发〈江苏省土地征收成片开发方案编制指南（试行）〉〈江苏省土地征收成片开发方案审查要点〉的通知》（苏自然资函〔2021〕1028号）；</w:t>
      </w:r>
    </w:p>
    <w:p w14:paraId="4A8CE4F1">
      <w:pPr>
        <w:pStyle w:val="12"/>
        <w:spacing w:line="58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7.</w:t>
      </w:r>
      <w:r>
        <w:rPr>
          <w:rFonts w:hint="eastAsia" w:ascii="Times New Roman" w:hAnsi="Times New Roman" w:eastAsia="仿宋_GB2312"/>
          <w:color w:val="000000"/>
          <w:kern w:val="0"/>
          <w:sz w:val="32"/>
          <w:szCs w:val="32"/>
          <w:highlight w:val="none"/>
        </w:rPr>
        <w:t>《省人力资源社会保障厅 省财政厅 省自然资源厅 省农业农村厅 关于贯彻落实江苏省被征地农民社会保障办法的通知》（苏人社函〔2022〕85号）；</w:t>
      </w:r>
    </w:p>
    <w:p w14:paraId="3300F97F">
      <w:pPr>
        <w:pStyle w:val="12"/>
        <w:spacing w:line="58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8.</w:t>
      </w:r>
      <w:r>
        <w:rPr>
          <w:rFonts w:hint="eastAsia" w:ascii="Times New Roman" w:hAnsi="Times New Roman" w:eastAsia="仿宋_GB2312"/>
          <w:color w:val="000000"/>
          <w:kern w:val="0"/>
          <w:sz w:val="32"/>
          <w:szCs w:val="32"/>
          <w:highlight w:val="none"/>
        </w:rPr>
        <w:t>《江苏省自然资源厅关于深入推进土地征收成片开发方案编制工作的通知》（苏自然资函〔2024〕939号）；</w:t>
      </w:r>
    </w:p>
    <w:p w14:paraId="4D385778">
      <w:pPr>
        <w:pStyle w:val="12"/>
        <w:spacing w:line="58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9.</w:t>
      </w:r>
      <w:r>
        <w:rPr>
          <w:rFonts w:hint="eastAsia" w:ascii="Times New Roman" w:hAnsi="Times New Roman" w:eastAsia="仿宋_GB2312"/>
          <w:color w:val="000000"/>
          <w:kern w:val="0"/>
          <w:sz w:val="32"/>
          <w:szCs w:val="32"/>
          <w:highlight w:val="none"/>
        </w:rPr>
        <w:t>《苏州市政府办公室关于进一步完善土地征收成片开发方案编制报批工作的通知》（苏府办〔2021〕242号）；</w:t>
      </w:r>
    </w:p>
    <w:p w14:paraId="3527A5DE">
      <w:pPr>
        <w:pStyle w:val="12"/>
        <w:spacing w:line="58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10.</w:t>
      </w:r>
      <w:r>
        <w:rPr>
          <w:rFonts w:hint="eastAsia" w:ascii="Times New Roman" w:hAnsi="Times New Roman" w:eastAsia="仿宋_GB2312"/>
          <w:color w:val="000000"/>
          <w:kern w:val="0"/>
          <w:sz w:val="32"/>
          <w:szCs w:val="32"/>
          <w:highlight w:val="none"/>
        </w:rPr>
        <w:t>《市政府关于重新公布苏州市市区征地区片综合地价标准的通知》（苏府规字〔2024〕6号）；</w:t>
      </w:r>
    </w:p>
    <w:p w14:paraId="32D23B4D">
      <w:pPr>
        <w:pStyle w:val="12"/>
        <w:spacing w:line="58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11.</w:t>
      </w:r>
      <w:r>
        <w:rPr>
          <w:rFonts w:hint="eastAsia" w:ascii="Times New Roman" w:hAnsi="Times New Roman" w:eastAsia="仿宋_GB2312"/>
          <w:color w:val="000000"/>
          <w:kern w:val="0"/>
          <w:sz w:val="32"/>
          <w:szCs w:val="32"/>
          <w:highlight w:val="none"/>
        </w:rPr>
        <w:t>苏州市吴江区国民经济和社会发展规划、苏州市吴江区国民经济和社会发展年度计划；</w:t>
      </w:r>
    </w:p>
    <w:p w14:paraId="031F46A6">
      <w:pPr>
        <w:pStyle w:val="12"/>
        <w:spacing w:line="58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12.</w:t>
      </w:r>
      <w:r>
        <w:rPr>
          <w:rFonts w:hint="eastAsia" w:ascii="Times New Roman" w:hAnsi="Times New Roman" w:eastAsia="仿宋_GB2312"/>
          <w:color w:val="000000"/>
          <w:kern w:val="0"/>
          <w:sz w:val="32"/>
          <w:szCs w:val="32"/>
          <w:highlight w:val="none"/>
        </w:rPr>
        <w:t>苏州市吴江区“三区三线”划定成果；</w:t>
      </w:r>
    </w:p>
    <w:p w14:paraId="3D6EBF6F">
      <w:pPr>
        <w:pStyle w:val="12"/>
        <w:spacing w:line="58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13.</w:t>
      </w:r>
      <w:r>
        <w:rPr>
          <w:rFonts w:hint="eastAsia" w:ascii="Times New Roman" w:hAnsi="Times New Roman" w:eastAsia="仿宋_GB2312"/>
          <w:color w:val="000000"/>
          <w:kern w:val="0"/>
          <w:sz w:val="32"/>
          <w:szCs w:val="32"/>
          <w:highlight w:val="none"/>
        </w:rPr>
        <w:t>《苏州市吴江区国土空间总体规划（2021—2035年）》；</w:t>
      </w:r>
    </w:p>
    <w:p w14:paraId="2F28A9C8">
      <w:pPr>
        <w:pStyle w:val="12"/>
        <w:spacing w:line="58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14.</w:t>
      </w:r>
      <w:r>
        <w:rPr>
          <w:rFonts w:hint="eastAsia" w:ascii="Times New Roman" w:hAnsi="Times New Roman" w:eastAsia="仿宋_GB2312"/>
          <w:color w:val="000000"/>
          <w:kern w:val="0"/>
          <w:sz w:val="32"/>
          <w:szCs w:val="32"/>
          <w:highlight w:val="none"/>
        </w:rPr>
        <w:t>最新土地变更调查成果等资料；</w:t>
      </w:r>
    </w:p>
    <w:p w14:paraId="6A2B6C01">
      <w:pPr>
        <w:pStyle w:val="12"/>
        <w:spacing w:line="58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15.</w:t>
      </w:r>
      <w:r>
        <w:rPr>
          <w:rFonts w:hint="eastAsia" w:ascii="Times New Roman" w:hAnsi="Times New Roman" w:eastAsia="仿宋_GB2312"/>
          <w:color w:val="000000"/>
          <w:kern w:val="0"/>
          <w:sz w:val="32"/>
          <w:szCs w:val="32"/>
          <w:highlight w:val="none"/>
        </w:rPr>
        <w:t>片区涉及国土空间详细规划；</w:t>
      </w:r>
    </w:p>
    <w:p w14:paraId="2B69E5E8">
      <w:pPr>
        <w:pStyle w:val="12"/>
        <w:spacing w:line="580" w:lineRule="exact"/>
        <w:ind w:firstLine="640" w:firstLineChars="200"/>
        <w:rPr>
          <w:rFonts w:ascii="Times New Roman" w:hAnsi="Times New Roman" w:eastAsia="仿宋_GB2312"/>
          <w:color w:val="000000"/>
          <w:kern w:val="0"/>
          <w:sz w:val="32"/>
          <w:szCs w:val="32"/>
          <w:highlight w:val="yellow"/>
        </w:rPr>
      </w:pPr>
      <w:r>
        <w:rPr>
          <w:rFonts w:hint="eastAsia" w:ascii="Times New Roman" w:hAnsi="Times New Roman" w:eastAsia="仿宋_GB2312"/>
          <w:color w:val="000000"/>
          <w:kern w:val="0"/>
          <w:sz w:val="32"/>
          <w:szCs w:val="32"/>
          <w:highlight w:val="none"/>
          <w:lang w:eastAsia="zh-CN"/>
        </w:rPr>
        <w:t>16.</w:t>
      </w:r>
      <w:r>
        <w:rPr>
          <w:rFonts w:hint="eastAsia" w:ascii="Times New Roman" w:hAnsi="Times New Roman" w:eastAsia="仿宋_GB2312"/>
          <w:color w:val="000000"/>
          <w:kern w:val="0"/>
          <w:sz w:val="32"/>
          <w:szCs w:val="32"/>
          <w:highlight w:val="none"/>
        </w:rPr>
        <w:t>成片开发拟建设项目的相关资料及其他资料</w:t>
      </w:r>
      <w:r>
        <w:rPr>
          <w:rFonts w:ascii="Times New Roman" w:hAnsi="Times New Roman" w:eastAsia="仿宋_GB2312"/>
          <w:color w:val="000000"/>
          <w:kern w:val="0"/>
          <w:sz w:val="32"/>
          <w:szCs w:val="32"/>
          <w:highlight w:val="none"/>
        </w:rPr>
        <w:t>。</w:t>
      </w:r>
    </w:p>
    <w:p w14:paraId="51DE4946">
      <w:pPr>
        <w:pStyle w:val="2"/>
        <w:spacing w:line="580" w:lineRule="exact"/>
        <w:rPr>
          <w:rFonts w:ascii="Times New Roman" w:hAnsi="Times New Roman" w:eastAsia="仿宋_GB2312" w:cs="Times New Roman"/>
          <w:bCs/>
          <w:szCs w:val="32"/>
          <w:highlight w:val="none"/>
        </w:rPr>
      </w:pPr>
      <w:r>
        <w:rPr>
          <w:rFonts w:ascii="Times New Roman" w:hAnsi="Times New Roman" w:eastAsia="仿宋_GB2312" w:cs="Times New Roman"/>
          <w:bCs/>
          <w:szCs w:val="32"/>
          <w:highlight w:val="none"/>
        </w:rPr>
        <w:t>三、成片开发的必要性</w:t>
      </w:r>
    </w:p>
    <w:p w14:paraId="3DA85FA7">
      <w:pPr>
        <w:pStyle w:val="12"/>
        <w:spacing w:line="580" w:lineRule="exact"/>
        <w:ind w:firstLine="640" w:firstLineChars="200"/>
        <w:rPr>
          <w:rFonts w:ascii="Times New Roman" w:hAnsi="Times New Roman" w:eastAsia="仿宋_GB2312"/>
          <w:color w:val="000000"/>
          <w:kern w:val="0"/>
          <w:sz w:val="32"/>
          <w:szCs w:val="32"/>
          <w:highlight w:val="none"/>
        </w:rPr>
      </w:pPr>
      <w:r>
        <w:rPr>
          <w:rFonts w:ascii="Times New Roman" w:hAnsi="Times New Roman" w:eastAsia="仿宋_GB2312"/>
          <w:color w:val="000000"/>
          <w:kern w:val="0"/>
          <w:sz w:val="32"/>
          <w:szCs w:val="32"/>
          <w:highlight w:val="none"/>
        </w:rPr>
        <w:t>本方案符合苏州市吴江区国民经济和社会发展规划，同时已纳入苏州市吴江区国民经济和社会发展年度计划。片区的开发有助于促进</w:t>
      </w:r>
      <w:r>
        <w:rPr>
          <w:rFonts w:hint="eastAsia" w:ascii="Times New Roman" w:hAnsi="Times New Roman" w:eastAsia="仿宋_GB2312"/>
          <w:color w:val="000000"/>
          <w:kern w:val="0"/>
          <w:sz w:val="32"/>
          <w:szCs w:val="32"/>
          <w:highlight w:val="none"/>
        </w:rPr>
        <w:t>苏州市吴江区黎里镇</w:t>
      </w:r>
      <w:r>
        <w:rPr>
          <w:rFonts w:ascii="Times New Roman" w:hAnsi="Times New Roman" w:eastAsia="仿宋_GB2312"/>
          <w:color w:val="000000"/>
          <w:kern w:val="0"/>
          <w:sz w:val="32"/>
          <w:szCs w:val="32"/>
          <w:highlight w:val="none"/>
        </w:rPr>
        <w:t>的发展、基础设施的配套完善、公共服务设施的品质提升。片区的开发符合</w:t>
      </w:r>
      <w:r>
        <w:rPr>
          <w:rFonts w:hint="eastAsia" w:ascii="Times New Roman" w:hAnsi="Times New Roman" w:eastAsia="仿宋_GB2312"/>
          <w:color w:val="000000"/>
          <w:kern w:val="0"/>
          <w:sz w:val="32"/>
          <w:szCs w:val="32"/>
          <w:highlight w:val="none"/>
        </w:rPr>
        <w:t>苏州市吴江区黎里镇</w:t>
      </w:r>
      <w:r>
        <w:rPr>
          <w:rFonts w:ascii="Times New Roman" w:hAnsi="Times New Roman" w:eastAsia="仿宋_GB2312"/>
          <w:color w:val="000000"/>
          <w:kern w:val="0"/>
          <w:sz w:val="32"/>
          <w:szCs w:val="32"/>
          <w:highlight w:val="none"/>
        </w:rPr>
        <w:t>的公共利益。</w:t>
      </w:r>
    </w:p>
    <w:p w14:paraId="35576E55">
      <w:pPr>
        <w:pStyle w:val="2"/>
        <w:spacing w:line="580" w:lineRule="exact"/>
        <w:ind w:left="720" w:hanging="720"/>
        <w:rPr>
          <w:rFonts w:ascii="Times New Roman" w:hAnsi="Times New Roman" w:eastAsia="仿宋_GB2312" w:cs="Times New Roman"/>
          <w:bCs/>
          <w:szCs w:val="32"/>
          <w:highlight w:val="none"/>
        </w:rPr>
      </w:pPr>
      <w:r>
        <w:rPr>
          <w:rFonts w:ascii="Times New Roman" w:hAnsi="Times New Roman" w:eastAsia="仿宋_GB2312" w:cs="Times New Roman"/>
          <w:bCs/>
          <w:szCs w:val="32"/>
          <w:highlight w:val="none"/>
        </w:rPr>
        <w:t>四、规划主要用途和实现功能</w:t>
      </w:r>
    </w:p>
    <w:p w14:paraId="66DC1034">
      <w:pPr>
        <w:pStyle w:val="12"/>
        <w:spacing w:line="580" w:lineRule="exact"/>
        <w:ind w:firstLine="640" w:firstLineChars="200"/>
        <w:rPr>
          <w:rFonts w:ascii="Times New Roman" w:hAnsi="Times New Roman" w:eastAsia="仿宋_GB2312"/>
          <w:color w:val="000000"/>
          <w:kern w:val="0"/>
          <w:sz w:val="32"/>
          <w:szCs w:val="32"/>
          <w:highlight w:val="none"/>
        </w:rPr>
      </w:pPr>
      <w:r>
        <w:rPr>
          <w:rFonts w:ascii="Times New Roman" w:hAnsi="Times New Roman" w:eastAsia="仿宋_GB2312"/>
          <w:color w:val="000000"/>
          <w:kern w:val="0"/>
          <w:sz w:val="32"/>
          <w:szCs w:val="32"/>
          <w:highlight w:val="none"/>
        </w:rPr>
        <w:t>依据片区涉及的</w:t>
      </w:r>
      <w:r>
        <w:rPr>
          <w:rFonts w:hint="eastAsia" w:ascii="Times New Roman" w:hAnsi="Times New Roman" w:eastAsia="仿宋_GB2312"/>
          <w:color w:val="000000"/>
          <w:kern w:val="0"/>
          <w:sz w:val="32"/>
          <w:szCs w:val="32"/>
          <w:highlight w:val="none"/>
        </w:rPr>
        <w:t>国土空间详细规划</w:t>
      </w:r>
      <w:r>
        <w:rPr>
          <w:rFonts w:ascii="Times New Roman" w:hAnsi="Times New Roman" w:eastAsia="仿宋_GB2312"/>
          <w:color w:val="000000"/>
          <w:kern w:val="0"/>
          <w:sz w:val="32"/>
          <w:szCs w:val="32"/>
          <w:highlight w:val="none"/>
        </w:rPr>
        <w:t>，各片区主要用途为</w:t>
      </w:r>
      <w:r>
        <w:rPr>
          <w:rFonts w:hint="eastAsia" w:ascii="Times New Roman" w:hAnsi="Times New Roman" w:eastAsia="仿宋_GB2312"/>
          <w:color w:val="000000"/>
          <w:kern w:val="0"/>
          <w:sz w:val="32"/>
          <w:szCs w:val="32"/>
          <w:highlight w:val="none"/>
        </w:rPr>
        <w:t>交通运输用地、商业服务业用地</w:t>
      </w:r>
      <w:r>
        <w:rPr>
          <w:rFonts w:hint="eastAsia" w:ascii="Times New Roman" w:hAnsi="Times New Roman" w:eastAsia="仿宋_GB2312"/>
          <w:color w:val="000000"/>
          <w:kern w:val="0"/>
          <w:sz w:val="32"/>
          <w:szCs w:val="32"/>
          <w:highlight w:val="none"/>
          <w:lang w:eastAsia="zh-CN"/>
        </w:rPr>
        <w:t>、</w:t>
      </w:r>
      <w:r>
        <w:rPr>
          <w:rFonts w:hint="eastAsia" w:ascii="Times New Roman" w:hAnsi="Times New Roman" w:eastAsia="仿宋_GB2312"/>
          <w:color w:val="000000"/>
          <w:kern w:val="0"/>
          <w:sz w:val="32"/>
          <w:szCs w:val="32"/>
          <w:highlight w:val="none"/>
        </w:rPr>
        <w:t>居住用地、绿地与开敞空间用地</w:t>
      </w:r>
      <w:r>
        <w:rPr>
          <w:rFonts w:ascii="Times New Roman" w:hAnsi="Times New Roman" w:eastAsia="仿宋_GB2312"/>
          <w:color w:val="000000"/>
          <w:kern w:val="0"/>
          <w:sz w:val="32"/>
          <w:szCs w:val="32"/>
          <w:highlight w:val="none"/>
        </w:rPr>
        <w:t>等。通过片区的开发</w:t>
      </w:r>
      <w:r>
        <w:rPr>
          <w:rFonts w:hint="eastAsia" w:ascii="Times New Roman" w:hAnsi="Times New Roman" w:eastAsia="仿宋_GB2312"/>
          <w:color w:val="000000"/>
          <w:kern w:val="0"/>
          <w:sz w:val="32"/>
          <w:szCs w:val="32"/>
          <w:highlight w:val="none"/>
        </w:rPr>
        <w:t>促进发展方式转变，优化产业结构，构建产业转型升级空间支撑体系</w:t>
      </w:r>
      <w:r>
        <w:rPr>
          <w:rFonts w:ascii="Times New Roman" w:hAnsi="Times New Roman" w:eastAsia="仿宋_GB2312"/>
          <w:color w:val="000000"/>
          <w:kern w:val="0"/>
          <w:sz w:val="32"/>
          <w:szCs w:val="32"/>
          <w:highlight w:val="none"/>
        </w:rPr>
        <w:t>。</w:t>
      </w:r>
    </w:p>
    <w:p w14:paraId="3868AECA">
      <w:pPr>
        <w:pStyle w:val="2"/>
        <w:spacing w:line="580" w:lineRule="exact"/>
        <w:rPr>
          <w:rFonts w:ascii="Times New Roman" w:hAnsi="Times New Roman" w:eastAsia="仿宋_GB2312" w:cs="Times New Roman"/>
          <w:bCs/>
          <w:szCs w:val="32"/>
          <w:highlight w:val="none"/>
        </w:rPr>
      </w:pPr>
      <w:r>
        <w:rPr>
          <w:rFonts w:ascii="Times New Roman" w:hAnsi="Times New Roman" w:eastAsia="仿宋_GB2312" w:cs="Times New Roman"/>
          <w:bCs/>
          <w:szCs w:val="32"/>
          <w:highlight w:val="none"/>
        </w:rPr>
        <w:t>五、公益性用地</w:t>
      </w:r>
    </w:p>
    <w:p w14:paraId="232C2D1F">
      <w:pPr>
        <w:pStyle w:val="12"/>
        <w:spacing w:line="580" w:lineRule="exact"/>
        <w:ind w:firstLine="640" w:firstLineChars="200"/>
        <w:rPr>
          <w:rFonts w:ascii="Times New Roman" w:hAnsi="Times New Roman" w:eastAsia="仿宋_GB2312"/>
          <w:color w:val="000000"/>
          <w:kern w:val="0"/>
          <w:sz w:val="32"/>
          <w:szCs w:val="32"/>
          <w:highlight w:val="none"/>
        </w:rPr>
      </w:pPr>
      <w:r>
        <w:rPr>
          <w:rFonts w:ascii="Times New Roman" w:hAnsi="Times New Roman" w:eastAsia="仿宋_GB2312"/>
          <w:color w:val="000000"/>
          <w:kern w:val="0"/>
          <w:sz w:val="32"/>
          <w:szCs w:val="32"/>
          <w:highlight w:val="none"/>
        </w:rPr>
        <w:t>片区公益性用地占比满足《土地征收成片开发标准》</w:t>
      </w:r>
      <w:r>
        <w:rPr>
          <w:rFonts w:hint="eastAsia" w:ascii="Times New Roman" w:hAnsi="Times New Roman" w:eastAsia="仿宋_GB2312"/>
          <w:color w:val="000000"/>
          <w:kern w:val="0"/>
          <w:sz w:val="32"/>
          <w:szCs w:val="32"/>
          <w:highlight w:val="none"/>
        </w:rPr>
        <w:t>《江苏省自然资源厅关于加快推进土地征收成片开发方案编制工作的通知》（苏自然资发〔2021〕138号）</w:t>
      </w:r>
      <w:r>
        <w:rPr>
          <w:rFonts w:ascii="Times New Roman" w:hAnsi="Times New Roman" w:eastAsia="仿宋_GB2312"/>
          <w:color w:val="000000"/>
          <w:kern w:val="0"/>
          <w:sz w:val="32"/>
          <w:szCs w:val="32"/>
          <w:highlight w:val="none"/>
        </w:rPr>
        <w:t>《江苏省自然资源厅关于印发〈江苏省土地征收成片开发方案编制指南（试行）〉〈江苏省土地征收成片开发方案审查要点〉的通知》（苏自然资函〔2021〕1028号）《苏州市政府办公室关于进一步完善土地征收成片开发方案编制报批工作的通知》（苏府办〔2021〕242号）</w:t>
      </w:r>
      <w:r>
        <w:rPr>
          <w:rFonts w:hint="eastAsia" w:ascii="Times New Roman" w:hAnsi="Times New Roman" w:eastAsia="仿宋_GB2312"/>
          <w:color w:val="000000"/>
          <w:kern w:val="0"/>
          <w:sz w:val="32"/>
          <w:szCs w:val="32"/>
          <w:highlight w:val="none"/>
        </w:rPr>
        <w:t>《江苏省自然资源厅关于深入推进土地征收成片开发方案编制工作的通知》（苏自然资函〔</w:t>
      </w:r>
      <w:r>
        <w:rPr>
          <w:rFonts w:ascii="Times New Roman" w:hAnsi="Times New Roman" w:eastAsia="仿宋_GB2312"/>
          <w:color w:val="000000"/>
          <w:kern w:val="0"/>
          <w:sz w:val="32"/>
          <w:szCs w:val="32"/>
          <w:highlight w:val="none"/>
        </w:rPr>
        <w:t>2024</w:t>
      </w:r>
      <w:r>
        <w:rPr>
          <w:rFonts w:hint="eastAsia" w:ascii="Times New Roman" w:hAnsi="Times New Roman" w:eastAsia="仿宋_GB2312"/>
          <w:color w:val="000000"/>
          <w:kern w:val="0"/>
          <w:sz w:val="32"/>
          <w:szCs w:val="32"/>
          <w:highlight w:val="none"/>
        </w:rPr>
        <w:t>〕</w:t>
      </w:r>
      <w:r>
        <w:rPr>
          <w:rFonts w:ascii="Times New Roman" w:hAnsi="Times New Roman" w:eastAsia="仿宋_GB2312"/>
          <w:color w:val="000000"/>
          <w:kern w:val="0"/>
          <w:sz w:val="32"/>
          <w:szCs w:val="32"/>
          <w:highlight w:val="none"/>
        </w:rPr>
        <w:t>939</w:t>
      </w:r>
      <w:r>
        <w:rPr>
          <w:rFonts w:hint="eastAsia" w:ascii="Times New Roman" w:hAnsi="Times New Roman" w:eastAsia="仿宋_GB2312"/>
          <w:color w:val="000000"/>
          <w:kern w:val="0"/>
          <w:sz w:val="32"/>
          <w:szCs w:val="32"/>
          <w:highlight w:val="none"/>
        </w:rPr>
        <w:t>号）</w:t>
      </w:r>
      <w:r>
        <w:rPr>
          <w:rFonts w:ascii="Times New Roman" w:hAnsi="Times New Roman" w:eastAsia="仿宋_GB2312"/>
          <w:color w:val="000000"/>
          <w:kern w:val="0"/>
          <w:sz w:val="32"/>
          <w:szCs w:val="32"/>
          <w:highlight w:val="none"/>
        </w:rPr>
        <w:t>的规定。</w:t>
      </w:r>
    </w:p>
    <w:p w14:paraId="47E58C47">
      <w:pPr>
        <w:pStyle w:val="2"/>
        <w:spacing w:line="580" w:lineRule="exact"/>
        <w:rPr>
          <w:rFonts w:ascii="Times New Roman" w:hAnsi="Times New Roman" w:eastAsia="仿宋_GB2312" w:cs="Times New Roman"/>
          <w:szCs w:val="32"/>
          <w:highlight w:val="none"/>
        </w:rPr>
      </w:pPr>
      <w:r>
        <w:rPr>
          <w:rFonts w:ascii="Times New Roman" w:hAnsi="Times New Roman" w:eastAsia="仿宋_GB2312" w:cs="Times New Roman"/>
          <w:szCs w:val="32"/>
          <w:highlight w:val="none"/>
        </w:rPr>
        <w:t>六、规划符合性分析</w:t>
      </w:r>
    </w:p>
    <w:p w14:paraId="5C0C6B1D">
      <w:pPr>
        <w:pStyle w:val="12"/>
        <w:spacing w:line="580" w:lineRule="exact"/>
        <w:ind w:firstLine="640" w:firstLineChars="200"/>
        <w:rPr>
          <w:rFonts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1.</w:t>
      </w:r>
      <w:r>
        <w:rPr>
          <w:rFonts w:ascii="Times New Roman" w:hAnsi="Times New Roman" w:eastAsia="仿宋_GB2312"/>
          <w:color w:val="000000"/>
          <w:kern w:val="0"/>
          <w:sz w:val="32"/>
          <w:szCs w:val="32"/>
          <w:highlight w:val="none"/>
        </w:rPr>
        <w:t>本方案符合苏州市吴江区国民经济和社会发展规划的发展定位、要求，已纳入苏州市吴江区国民经济和社会发展年度计划。</w:t>
      </w:r>
    </w:p>
    <w:p w14:paraId="24D08F42">
      <w:pPr>
        <w:pStyle w:val="12"/>
        <w:spacing w:line="580" w:lineRule="exact"/>
        <w:ind w:firstLine="640" w:firstLineChars="200"/>
        <w:rPr>
          <w:rFonts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2.</w:t>
      </w:r>
      <w:r>
        <w:rPr>
          <w:rFonts w:ascii="Times New Roman" w:hAnsi="Times New Roman" w:eastAsia="仿宋_GB2312"/>
          <w:color w:val="000000"/>
          <w:kern w:val="0"/>
          <w:sz w:val="32"/>
          <w:szCs w:val="32"/>
          <w:highlight w:val="none"/>
        </w:rPr>
        <w:t>成片开发方案与</w:t>
      </w:r>
      <w:r>
        <w:rPr>
          <w:rFonts w:hint="eastAsia" w:ascii="Times New Roman" w:hAnsi="Times New Roman" w:eastAsia="仿宋_GB2312"/>
          <w:color w:val="000000"/>
          <w:kern w:val="0"/>
          <w:sz w:val="32"/>
          <w:szCs w:val="32"/>
          <w:highlight w:val="none"/>
        </w:rPr>
        <w:t>苏州市吴江区国土空间总体规划</w:t>
      </w:r>
      <w:r>
        <w:rPr>
          <w:rFonts w:ascii="Times New Roman" w:hAnsi="Times New Roman" w:eastAsia="仿宋_GB2312"/>
          <w:color w:val="000000"/>
          <w:kern w:val="0"/>
          <w:sz w:val="32"/>
          <w:szCs w:val="32"/>
          <w:highlight w:val="none"/>
        </w:rPr>
        <w:t>成果充分衔接，片区位于</w:t>
      </w:r>
      <w:r>
        <w:rPr>
          <w:rFonts w:hint="eastAsia" w:ascii="Times New Roman" w:hAnsi="Times New Roman" w:eastAsia="仿宋_GB2312"/>
          <w:color w:val="000000"/>
          <w:kern w:val="0"/>
          <w:sz w:val="32"/>
          <w:szCs w:val="32"/>
          <w:highlight w:val="none"/>
        </w:rPr>
        <w:t>城镇建设用地范围内</w:t>
      </w:r>
      <w:r>
        <w:rPr>
          <w:rFonts w:ascii="Times New Roman" w:hAnsi="Times New Roman" w:eastAsia="仿宋_GB2312"/>
          <w:color w:val="000000"/>
          <w:kern w:val="0"/>
          <w:sz w:val="32"/>
          <w:szCs w:val="32"/>
          <w:highlight w:val="none"/>
        </w:rPr>
        <w:t>。</w:t>
      </w:r>
    </w:p>
    <w:p w14:paraId="6298BBB6">
      <w:pPr>
        <w:pStyle w:val="12"/>
        <w:spacing w:line="580" w:lineRule="exact"/>
        <w:ind w:firstLine="640" w:firstLineChars="200"/>
        <w:rPr>
          <w:rFonts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3.</w:t>
      </w:r>
      <w:r>
        <w:rPr>
          <w:rFonts w:ascii="Times New Roman" w:hAnsi="Times New Roman" w:eastAsia="仿宋_GB2312"/>
          <w:color w:val="000000"/>
          <w:kern w:val="0"/>
          <w:sz w:val="32"/>
          <w:szCs w:val="32"/>
          <w:highlight w:val="none"/>
        </w:rPr>
        <w:t>本方案土地规划用途均符合涉及的</w:t>
      </w:r>
      <w:r>
        <w:rPr>
          <w:rFonts w:hint="eastAsia" w:ascii="Times New Roman" w:hAnsi="Times New Roman" w:eastAsia="仿宋_GB2312"/>
          <w:color w:val="000000"/>
          <w:kern w:val="0"/>
          <w:sz w:val="32"/>
          <w:szCs w:val="32"/>
          <w:highlight w:val="none"/>
        </w:rPr>
        <w:t>国土空间详细规划</w:t>
      </w:r>
      <w:r>
        <w:rPr>
          <w:rFonts w:ascii="Times New Roman" w:hAnsi="Times New Roman" w:eastAsia="仿宋_GB2312"/>
          <w:color w:val="000000"/>
          <w:kern w:val="0"/>
          <w:sz w:val="32"/>
          <w:szCs w:val="32"/>
          <w:highlight w:val="none"/>
        </w:rPr>
        <w:t>。</w:t>
      </w:r>
    </w:p>
    <w:p w14:paraId="472EF022">
      <w:pPr>
        <w:pStyle w:val="2"/>
        <w:spacing w:line="580" w:lineRule="exact"/>
        <w:rPr>
          <w:rFonts w:ascii="Times New Roman" w:hAnsi="Times New Roman" w:eastAsia="仿宋_GB2312" w:cs="Times New Roman"/>
          <w:szCs w:val="32"/>
          <w:highlight w:val="none"/>
        </w:rPr>
      </w:pPr>
      <w:r>
        <w:rPr>
          <w:rFonts w:ascii="Times New Roman" w:hAnsi="Times New Roman" w:eastAsia="仿宋_GB2312" w:cs="Times New Roman"/>
          <w:szCs w:val="32"/>
          <w:highlight w:val="none"/>
        </w:rPr>
        <w:t>七、永久基本农田及生态保护情况</w:t>
      </w:r>
    </w:p>
    <w:p w14:paraId="10F78969">
      <w:pPr>
        <w:pStyle w:val="12"/>
        <w:spacing w:line="580" w:lineRule="exact"/>
        <w:ind w:firstLine="640" w:firstLineChars="200"/>
        <w:rPr>
          <w:rFonts w:ascii="Times New Roman" w:hAnsi="Times New Roman" w:eastAsia="仿宋_GB2312"/>
          <w:color w:val="000000"/>
          <w:kern w:val="0"/>
          <w:sz w:val="32"/>
          <w:szCs w:val="32"/>
          <w:highlight w:val="none"/>
        </w:rPr>
      </w:pPr>
      <w:r>
        <w:rPr>
          <w:rFonts w:ascii="Times New Roman" w:hAnsi="Times New Roman" w:eastAsia="仿宋_GB2312"/>
          <w:color w:val="000000"/>
          <w:kern w:val="0"/>
          <w:sz w:val="32"/>
          <w:szCs w:val="32"/>
          <w:highlight w:val="none"/>
        </w:rPr>
        <w:t>本成片开发方案范围内不涉及永久基本农田（核实处置后）、生态保护红线，符合成片开发项目送审报批的要求。</w:t>
      </w:r>
    </w:p>
    <w:p w14:paraId="03DF953B">
      <w:pPr>
        <w:pStyle w:val="2"/>
        <w:spacing w:line="580" w:lineRule="exact"/>
        <w:rPr>
          <w:rFonts w:ascii="Times New Roman" w:hAnsi="Times New Roman" w:eastAsia="仿宋_GB2312" w:cs="Times New Roman"/>
          <w:szCs w:val="32"/>
          <w:highlight w:val="none"/>
        </w:rPr>
      </w:pPr>
      <w:r>
        <w:rPr>
          <w:rFonts w:ascii="Times New Roman" w:hAnsi="Times New Roman" w:eastAsia="仿宋_GB2312" w:cs="Times New Roman"/>
          <w:szCs w:val="32"/>
          <w:highlight w:val="none"/>
        </w:rPr>
        <w:t>八、拟建设项目、开发时序和实施计划</w:t>
      </w:r>
    </w:p>
    <w:p w14:paraId="19544CDC">
      <w:pPr>
        <w:pStyle w:val="12"/>
        <w:spacing w:line="580" w:lineRule="exact"/>
        <w:ind w:firstLine="640" w:firstLineChars="200"/>
        <w:rPr>
          <w:rFonts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rPr>
        <w:t>成片开发范围内拟建设项目计划在两年内启动土地征收工作</w:t>
      </w:r>
      <w:r>
        <w:rPr>
          <w:rFonts w:ascii="Times New Roman" w:hAnsi="Times New Roman" w:eastAsia="仿宋_GB2312"/>
          <w:color w:val="000000"/>
          <w:kern w:val="0"/>
          <w:sz w:val="32"/>
          <w:szCs w:val="32"/>
          <w:highlight w:val="none"/>
        </w:rPr>
        <w:t>。</w:t>
      </w:r>
    </w:p>
    <w:p w14:paraId="738DC6CB">
      <w:pPr>
        <w:pStyle w:val="2"/>
        <w:spacing w:line="580" w:lineRule="exact"/>
        <w:rPr>
          <w:rFonts w:ascii="Times New Roman" w:hAnsi="Times New Roman" w:eastAsia="仿宋_GB2312" w:cs="Times New Roman"/>
          <w:szCs w:val="32"/>
          <w:highlight w:val="none"/>
        </w:rPr>
      </w:pPr>
      <w:r>
        <w:rPr>
          <w:rFonts w:ascii="Times New Roman" w:hAnsi="Times New Roman" w:eastAsia="仿宋_GB2312" w:cs="Times New Roman"/>
          <w:szCs w:val="32"/>
          <w:highlight w:val="none"/>
        </w:rPr>
        <w:t>九、选址适宜性</w:t>
      </w:r>
    </w:p>
    <w:p w14:paraId="4B0DF352">
      <w:pPr>
        <w:pStyle w:val="12"/>
        <w:spacing w:line="580" w:lineRule="exact"/>
        <w:ind w:firstLine="640" w:firstLineChars="200"/>
        <w:rPr>
          <w:rFonts w:ascii="Times New Roman" w:hAnsi="Times New Roman" w:eastAsia="仿宋_GB2312"/>
          <w:color w:val="000000"/>
          <w:kern w:val="0"/>
          <w:sz w:val="32"/>
          <w:szCs w:val="32"/>
          <w:highlight w:val="none"/>
        </w:rPr>
      </w:pPr>
      <w:r>
        <w:rPr>
          <w:rFonts w:ascii="Times New Roman" w:hAnsi="Times New Roman" w:eastAsia="仿宋_GB2312"/>
          <w:color w:val="000000"/>
          <w:kern w:val="0"/>
          <w:sz w:val="32"/>
          <w:szCs w:val="32"/>
          <w:highlight w:val="none"/>
        </w:rPr>
        <w:t>项目选址未见现状地质灾害，未处于地质灾害易发区。</w:t>
      </w:r>
    </w:p>
    <w:p w14:paraId="752FE641">
      <w:pPr>
        <w:pStyle w:val="2"/>
        <w:spacing w:line="580" w:lineRule="exact"/>
        <w:rPr>
          <w:rFonts w:ascii="Times New Roman" w:hAnsi="Times New Roman" w:eastAsia="仿宋_GB2312" w:cs="Times New Roman"/>
          <w:szCs w:val="32"/>
          <w:highlight w:val="none"/>
        </w:rPr>
      </w:pPr>
      <w:r>
        <w:rPr>
          <w:rFonts w:ascii="Times New Roman" w:hAnsi="Times New Roman" w:eastAsia="仿宋_GB2312" w:cs="Times New Roman"/>
          <w:szCs w:val="32"/>
          <w:highlight w:val="none"/>
        </w:rPr>
        <w:t>十、落实被征地群众安置补偿、维护群众利益的计划措施</w:t>
      </w:r>
    </w:p>
    <w:p w14:paraId="31EC8D9C">
      <w:pPr>
        <w:pStyle w:val="12"/>
        <w:spacing w:line="58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1.</w:t>
      </w:r>
      <w:r>
        <w:rPr>
          <w:rFonts w:hint="eastAsia" w:ascii="Times New Roman" w:hAnsi="Times New Roman" w:eastAsia="仿宋_GB2312"/>
          <w:color w:val="000000"/>
          <w:kern w:val="0"/>
          <w:sz w:val="32"/>
          <w:szCs w:val="32"/>
          <w:highlight w:val="none"/>
        </w:rPr>
        <w:t>征地补偿标准：参照《市政府关于重新公布苏州市市区征地区片综合地价标准的通知》（苏府规字〔2024〕6号）的标准执行。</w:t>
      </w:r>
    </w:p>
    <w:p w14:paraId="4C0972D8">
      <w:pPr>
        <w:pStyle w:val="12"/>
        <w:spacing w:line="580" w:lineRule="exact"/>
        <w:ind w:firstLine="640" w:firstLineChars="200"/>
        <w:rPr>
          <w:rFonts w:hint="eastAsia"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2.</w:t>
      </w:r>
      <w:r>
        <w:rPr>
          <w:rFonts w:hint="eastAsia" w:ascii="Times New Roman" w:hAnsi="Times New Roman" w:eastAsia="仿宋_GB2312"/>
          <w:color w:val="000000"/>
          <w:kern w:val="0"/>
          <w:sz w:val="32"/>
          <w:szCs w:val="32"/>
          <w:highlight w:val="none"/>
        </w:rPr>
        <w:t>征地安置：苏州市吴江区人民政府计划通过货币安置、社保安置、搬迁安置相结合的安置方式，以妥善解决被征地农民的生产和生活问题。</w:t>
      </w:r>
    </w:p>
    <w:p w14:paraId="7054B05B">
      <w:pPr>
        <w:pStyle w:val="12"/>
        <w:spacing w:line="580" w:lineRule="exact"/>
        <w:ind w:firstLine="640" w:firstLineChars="200"/>
        <w:rPr>
          <w:rFonts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3.</w:t>
      </w:r>
      <w:r>
        <w:rPr>
          <w:rFonts w:hint="eastAsia" w:ascii="Times New Roman" w:hAnsi="Times New Roman" w:eastAsia="仿宋_GB2312"/>
          <w:color w:val="000000"/>
          <w:kern w:val="0"/>
          <w:sz w:val="32"/>
          <w:szCs w:val="32"/>
          <w:highlight w:val="none"/>
        </w:rPr>
        <w:t>征地程序：成片开发所涉及的土地征收工作，苏州市吴江区自然资源和规划局将严格按规定履行征地报批前告知、现状调查及确认、听证、公告等程序</w:t>
      </w:r>
      <w:r>
        <w:rPr>
          <w:rFonts w:ascii="Times New Roman" w:hAnsi="Times New Roman" w:eastAsia="仿宋_GB2312"/>
          <w:color w:val="000000"/>
          <w:kern w:val="0"/>
          <w:sz w:val="32"/>
          <w:szCs w:val="32"/>
          <w:highlight w:val="none"/>
        </w:rPr>
        <w:t>。</w:t>
      </w:r>
    </w:p>
    <w:p w14:paraId="37DB6BB4">
      <w:pPr>
        <w:pStyle w:val="2"/>
        <w:spacing w:line="560" w:lineRule="exact"/>
        <w:rPr>
          <w:rFonts w:ascii="Times New Roman" w:hAnsi="Times New Roman" w:eastAsia="仿宋_GB2312" w:cs="Times New Roman"/>
          <w:bCs/>
          <w:szCs w:val="32"/>
          <w:highlight w:val="none"/>
        </w:rPr>
      </w:pPr>
      <w:r>
        <w:rPr>
          <w:rFonts w:ascii="Times New Roman" w:hAnsi="Times New Roman" w:eastAsia="仿宋_GB2312" w:cs="Times New Roman"/>
          <w:bCs/>
          <w:szCs w:val="32"/>
          <w:highlight w:val="none"/>
        </w:rPr>
        <w:t>十一、效益评估</w:t>
      </w:r>
    </w:p>
    <w:p w14:paraId="0FFE8B51">
      <w:pPr>
        <w:pStyle w:val="12"/>
        <w:spacing w:line="580" w:lineRule="exact"/>
        <w:ind w:firstLine="640" w:firstLineChars="200"/>
        <w:rPr>
          <w:rFonts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1.</w:t>
      </w:r>
      <w:r>
        <w:rPr>
          <w:rFonts w:ascii="Times New Roman" w:hAnsi="Times New Roman" w:eastAsia="仿宋_GB2312"/>
          <w:color w:val="000000"/>
          <w:kern w:val="0"/>
          <w:sz w:val="32"/>
          <w:szCs w:val="32"/>
          <w:highlight w:val="none"/>
        </w:rPr>
        <w:t>土地利用效益：本成片开发方案项目的实施会对土地利用、分配公平、环境改善、增加就业等方面有巨大的促进作用。通过本方案的实施，能够真正实现统一规划、统一配套、统一开发、统一建设、统一管理，激活存量土地利用价值，提高城市土地资源配置效率。</w:t>
      </w:r>
    </w:p>
    <w:p w14:paraId="0739190D">
      <w:pPr>
        <w:pStyle w:val="12"/>
        <w:spacing w:line="580" w:lineRule="exact"/>
        <w:ind w:firstLine="640" w:firstLineChars="200"/>
        <w:rPr>
          <w:rFonts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2.</w:t>
      </w:r>
      <w:r>
        <w:rPr>
          <w:rFonts w:ascii="Times New Roman" w:hAnsi="Times New Roman" w:eastAsia="仿宋_GB2312"/>
          <w:color w:val="000000"/>
          <w:kern w:val="0"/>
          <w:sz w:val="32"/>
          <w:szCs w:val="32"/>
          <w:highlight w:val="none"/>
        </w:rPr>
        <w:t>经济效益：通过片区成片开发，有利于解决发展不均衡、不充分等问题。本方案通过土地征收、划拨和市场手段将土地资源配置到各个土地使用者手中，为城市建设储存后备力量与经济发展保障。</w:t>
      </w:r>
    </w:p>
    <w:p w14:paraId="2C72DA60">
      <w:pPr>
        <w:pStyle w:val="12"/>
        <w:spacing w:line="580" w:lineRule="exact"/>
        <w:ind w:firstLine="640" w:firstLineChars="200"/>
        <w:rPr>
          <w:rFonts w:ascii="Times New Roman" w:hAnsi="Times New Roman" w:eastAsia="仿宋_GB2312"/>
          <w:color w:val="000000"/>
          <w:kern w:val="0"/>
          <w:sz w:val="32"/>
          <w:szCs w:val="32"/>
          <w:highlight w:val="none"/>
        </w:rPr>
      </w:pPr>
      <w:r>
        <w:rPr>
          <w:rFonts w:hint="eastAsia" w:ascii="Times New Roman" w:hAnsi="Times New Roman" w:eastAsia="仿宋_GB2312"/>
          <w:color w:val="000000"/>
          <w:kern w:val="0"/>
          <w:sz w:val="32"/>
          <w:szCs w:val="32"/>
          <w:highlight w:val="none"/>
          <w:lang w:eastAsia="zh-CN"/>
        </w:rPr>
        <w:t>3.</w:t>
      </w:r>
      <w:r>
        <w:rPr>
          <w:rFonts w:ascii="Times New Roman" w:hAnsi="Times New Roman" w:eastAsia="仿宋_GB2312"/>
          <w:color w:val="000000"/>
          <w:kern w:val="0"/>
          <w:sz w:val="32"/>
          <w:szCs w:val="32"/>
          <w:highlight w:val="none"/>
        </w:rPr>
        <w:t>社会效益：有利于完善市政基础设施、增加就业岗位、提升公共服务水平、打造高品质的居住社区、高效益的产业社区。</w:t>
      </w:r>
    </w:p>
    <w:p w14:paraId="618A8C6B">
      <w:pPr>
        <w:pStyle w:val="2"/>
        <w:spacing w:line="560" w:lineRule="exact"/>
        <w:rPr>
          <w:rFonts w:ascii="Times New Roman" w:hAnsi="Times New Roman" w:eastAsia="仿宋_GB2312" w:cs="Times New Roman"/>
          <w:szCs w:val="32"/>
          <w:highlight w:val="none"/>
        </w:rPr>
      </w:pPr>
      <w:r>
        <w:rPr>
          <w:rFonts w:ascii="Times New Roman" w:hAnsi="Times New Roman" w:eastAsia="仿宋_GB2312" w:cs="Times New Roman"/>
          <w:szCs w:val="32"/>
          <w:highlight w:val="none"/>
        </w:rPr>
        <w:t>十二、结论</w:t>
      </w:r>
    </w:p>
    <w:p w14:paraId="617D40CE">
      <w:pPr>
        <w:pStyle w:val="12"/>
        <w:spacing w:line="580" w:lineRule="exact"/>
        <w:ind w:firstLine="640" w:firstLineChars="200"/>
        <w:rPr>
          <w:rFonts w:ascii="Times New Roman" w:hAnsi="Times New Roman" w:eastAsia="仿宋_GB2312"/>
          <w:color w:val="000000"/>
          <w:kern w:val="0"/>
          <w:sz w:val="32"/>
          <w:szCs w:val="32"/>
          <w:highlight w:val="none"/>
        </w:rPr>
        <w:sectPr>
          <w:footerReference r:id="rId3" w:type="default"/>
          <w:pgSz w:w="11906" w:h="16838"/>
          <w:pgMar w:top="1440" w:right="1800" w:bottom="1440" w:left="1800" w:header="851" w:footer="992" w:gutter="0"/>
          <w:cols w:space="425" w:num="1"/>
          <w:docGrid w:type="lines" w:linePitch="312" w:charSpace="0"/>
        </w:sectPr>
      </w:pPr>
      <w:r>
        <w:rPr>
          <w:rFonts w:ascii="Times New Roman" w:hAnsi="Times New Roman" w:eastAsia="仿宋_GB2312"/>
          <w:color w:val="000000"/>
          <w:kern w:val="0"/>
          <w:sz w:val="32"/>
          <w:szCs w:val="32"/>
          <w:highlight w:val="none"/>
        </w:rPr>
        <w:t>苏州市吴江区土地征收成片开发方案符合土地征收成片开发的标准，做到了保护耕地、维护农民合法权益、节约集约用地、保护生态环境，能够促进经济社会可持续发展。</w:t>
      </w:r>
    </w:p>
    <w:p w14:paraId="618502F6">
      <w:pPr>
        <w:jc w:val="left"/>
        <w:rPr>
          <w:rFonts w:ascii="Times New Roman" w:hAnsi="Times New Roman" w:eastAsia="仿宋_GB2312"/>
          <w:b/>
          <w:bCs/>
          <w:color w:val="000000"/>
          <w:kern w:val="0"/>
          <w:szCs w:val="32"/>
          <w:highlight w:val="none"/>
        </w:rPr>
      </w:pPr>
      <w:r>
        <w:rPr>
          <w:rFonts w:ascii="Times New Roman" w:hAnsi="Times New Roman" w:eastAsia="仿宋_GB2312"/>
          <w:b/>
          <w:bCs/>
          <w:color w:val="000000"/>
          <w:kern w:val="0"/>
          <w:szCs w:val="32"/>
          <w:highlight w:val="none"/>
        </w:rPr>
        <w:t>十三、附图——开发片区位置示意图（成片开发范围以最终批复为准）</w:t>
      </w:r>
    </w:p>
    <w:p w14:paraId="0A0007B5">
      <w:pPr>
        <w:jc w:val="center"/>
        <w:rPr>
          <w:rFonts w:ascii="仿宋" w:hAnsi="仿宋" w:eastAsia="仿宋" w:cs="仿宋"/>
          <w:bCs/>
          <w:color w:val="000000"/>
          <w:kern w:val="0"/>
          <w:szCs w:val="32"/>
          <w:highlight w:val="none"/>
        </w:rPr>
      </w:pPr>
      <w:r>
        <w:rPr>
          <w:rFonts w:ascii="仿宋" w:hAnsi="仿宋" w:eastAsia="仿宋" w:cs="仿宋"/>
          <w:bCs/>
          <w:color w:val="000000"/>
          <w:kern w:val="0"/>
          <w:szCs w:val="32"/>
          <w:highlight w:val="none"/>
        </w:rPr>
        <w:drawing>
          <wp:inline distT="0" distB="0" distL="0" distR="0">
            <wp:extent cx="5345430" cy="7555865"/>
            <wp:effectExtent l="0" t="0" r="7620" b="6985"/>
            <wp:docPr id="8" name="图片 8" descr="F:/王增辉/2024年项目/06 吴江成片开发/2026-03/2、公示材料/CP320509-2026-03-01片区范围示意图.jpgCP320509-2026-03-01片区范围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王增辉/2024年项目/06 吴江成片开发/2026-03/2、公示材料/CP320509-2026-03-01片区范围示意图.jpgCP320509-2026-03-01片区范围示意图"/>
                    <pic:cNvPicPr>
                      <a:picLocks noChangeAspect="1"/>
                    </pic:cNvPicPr>
                  </pic:nvPicPr>
                  <pic:blipFill>
                    <a:blip r:embed="rId5"/>
                    <a:srcRect l="21" r="21"/>
                    <a:stretch>
                      <a:fillRect/>
                    </a:stretch>
                  </pic:blipFill>
                  <pic:spPr>
                    <a:xfrm>
                      <a:off x="0" y="0"/>
                      <a:ext cx="5345430" cy="7555865"/>
                    </a:xfrm>
                    <a:prstGeom prst="rect">
                      <a:avLst/>
                    </a:prstGeom>
                  </pic:spPr>
                </pic:pic>
              </a:graphicData>
            </a:graphic>
          </wp:inline>
        </w:drawing>
      </w:r>
    </w:p>
    <w:p w14:paraId="75344CCC">
      <w:pPr>
        <w:jc w:val="left"/>
        <w:rPr>
          <w:rFonts w:ascii="仿宋" w:hAnsi="仿宋" w:eastAsia="仿宋" w:cs="仿宋"/>
          <w:bCs/>
          <w:color w:val="000000"/>
          <w:kern w:val="0"/>
          <w:szCs w:val="32"/>
          <w:highlight w:val="none"/>
        </w:rPr>
      </w:pPr>
    </w:p>
    <w:p w14:paraId="12702C71">
      <w:pPr>
        <w:jc w:val="left"/>
        <w:rPr>
          <w:rFonts w:ascii="仿宋" w:hAnsi="仿宋" w:eastAsia="仿宋" w:cs="仿宋"/>
          <w:bCs/>
          <w:color w:val="000000"/>
          <w:kern w:val="0"/>
          <w:szCs w:val="32"/>
          <w:highlight w:val="none"/>
        </w:rPr>
      </w:pPr>
    </w:p>
    <w:p w14:paraId="64C4E1E0">
      <w:pPr>
        <w:jc w:val="left"/>
        <w:rPr>
          <w:rFonts w:ascii="仿宋" w:hAnsi="仿宋" w:eastAsia="仿宋" w:cs="仿宋"/>
          <w:bCs/>
          <w:color w:val="000000"/>
          <w:kern w:val="0"/>
          <w:szCs w:val="32"/>
          <w:highlight w:val="yellow"/>
        </w:rPr>
      </w:pPr>
    </w:p>
    <w:sectPr>
      <w:pgSz w:w="11906" w:h="16838"/>
      <w:pgMar w:top="1440" w:right="1800" w:bottom="1440" w:left="1800" w:header="851" w:footer="992" w:gutter="0"/>
      <w:cols w:space="425" w:num="1"/>
      <w:docGrid w:type="line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06C1ECF8-5469-4365-920D-32B6B1D608EB}"/>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58219A6D-515D-4ADB-87CF-554EE51AC455}"/>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46290072"/>
    </w:sdtPr>
    <w:sdtContent>
      <w:p w14:paraId="069DC141">
        <w:pPr>
          <w:pStyle w:val="6"/>
          <w:jc w:val="center"/>
        </w:pPr>
        <w:r>
          <w:fldChar w:fldCharType="begin"/>
        </w:r>
        <w:r>
          <w:instrText xml:space="preserve">PAGE   \* MERGEFORMAT</w:instrText>
        </w:r>
        <w:r>
          <w:fldChar w:fldCharType="separate"/>
        </w:r>
        <w:r>
          <w:rPr>
            <w:lang w:val="zh-CN"/>
          </w:rPr>
          <w:t>3</w:t>
        </w:r>
        <w:r>
          <w:fldChar w:fldCharType="end"/>
        </w:r>
      </w:p>
    </w:sdtContent>
  </w:sdt>
  <w:p w14:paraId="1E3AE369">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A9176A"/>
    <w:multiLevelType w:val="multilevel"/>
    <w:tmpl w:val="6EA9176A"/>
    <w:lvl w:ilvl="0" w:tentative="0">
      <w:start w:val="1"/>
      <w:numFmt w:val="decimal"/>
      <w:pStyle w:val="16"/>
      <w:lvlText w:val="第%1条"/>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HorizontalSpacing w:val="140"/>
  <w:drawingGridVerticalSpacing w:val="381"/>
  <w:displayHorizont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EA62F8"/>
    <w:rsid w:val="000001A2"/>
    <w:rsid w:val="00004860"/>
    <w:rsid w:val="00012079"/>
    <w:rsid w:val="00012D57"/>
    <w:rsid w:val="0001674C"/>
    <w:rsid w:val="00016A68"/>
    <w:rsid w:val="0003204F"/>
    <w:rsid w:val="0003421D"/>
    <w:rsid w:val="00040A5A"/>
    <w:rsid w:val="0004421C"/>
    <w:rsid w:val="00050BD9"/>
    <w:rsid w:val="000531F4"/>
    <w:rsid w:val="00064A63"/>
    <w:rsid w:val="00072CA3"/>
    <w:rsid w:val="00077879"/>
    <w:rsid w:val="000A10E5"/>
    <w:rsid w:val="000A3E40"/>
    <w:rsid w:val="000B2334"/>
    <w:rsid w:val="000C29CD"/>
    <w:rsid w:val="000D1E4E"/>
    <w:rsid w:val="000E2AEC"/>
    <w:rsid w:val="000E38B1"/>
    <w:rsid w:val="000E5700"/>
    <w:rsid w:val="000E7D4A"/>
    <w:rsid w:val="000F030B"/>
    <w:rsid w:val="000F7774"/>
    <w:rsid w:val="0010284B"/>
    <w:rsid w:val="00102E01"/>
    <w:rsid w:val="00113957"/>
    <w:rsid w:val="00114521"/>
    <w:rsid w:val="00114B63"/>
    <w:rsid w:val="00144570"/>
    <w:rsid w:val="00162337"/>
    <w:rsid w:val="00170B20"/>
    <w:rsid w:val="001833A0"/>
    <w:rsid w:val="00194057"/>
    <w:rsid w:val="001962AB"/>
    <w:rsid w:val="001A2428"/>
    <w:rsid w:val="001D6EC1"/>
    <w:rsid w:val="001F6B6E"/>
    <w:rsid w:val="00202CE5"/>
    <w:rsid w:val="002045AB"/>
    <w:rsid w:val="00214420"/>
    <w:rsid w:val="00223870"/>
    <w:rsid w:val="00232478"/>
    <w:rsid w:val="00241B53"/>
    <w:rsid w:val="00254724"/>
    <w:rsid w:val="00256C63"/>
    <w:rsid w:val="002743B3"/>
    <w:rsid w:val="002747FB"/>
    <w:rsid w:val="002768E4"/>
    <w:rsid w:val="0028056D"/>
    <w:rsid w:val="002810AF"/>
    <w:rsid w:val="002831B8"/>
    <w:rsid w:val="002A27D0"/>
    <w:rsid w:val="002A6565"/>
    <w:rsid w:val="002B36A7"/>
    <w:rsid w:val="002B514E"/>
    <w:rsid w:val="002B666F"/>
    <w:rsid w:val="002C75FC"/>
    <w:rsid w:val="002D2030"/>
    <w:rsid w:val="002E0389"/>
    <w:rsid w:val="002E2D4D"/>
    <w:rsid w:val="002E7A06"/>
    <w:rsid w:val="002F0BAF"/>
    <w:rsid w:val="002F61C9"/>
    <w:rsid w:val="002F79DA"/>
    <w:rsid w:val="00301B13"/>
    <w:rsid w:val="00306422"/>
    <w:rsid w:val="00306A94"/>
    <w:rsid w:val="00315D8A"/>
    <w:rsid w:val="00316DAF"/>
    <w:rsid w:val="00325780"/>
    <w:rsid w:val="0037370A"/>
    <w:rsid w:val="00380C55"/>
    <w:rsid w:val="00392918"/>
    <w:rsid w:val="00393B95"/>
    <w:rsid w:val="00397E0B"/>
    <w:rsid w:val="003A26CA"/>
    <w:rsid w:val="003B494B"/>
    <w:rsid w:val="003D0237"/>
    <w:rsid w:val="003D67EA"/>
    <w:rsid w:val="003F60B4"/>
    <w:rsid w:val="003F6705"/>
    <w:rsid w:val="00403E0D"/>
    <w:rsid w:val="00407C06"/>
    <w:rsid w:val="0041176B"/>
    <w:rsid w:val="00412816"/>
    <w:rsid w:val="00432BD5"/>
    <w:rsid w:val="0043679C"/>
    <w:rsid w:val="004441BC"/>
    <w:rsid w:val="00445954"/>
    <w:rsid w:val="00452D90"/>
    <w:rsid w:val="00463E95"/>
    <w:rsid w:val="00467E9B"/>
    <w:rsid w:val="004712A9"/>
    <w:rsid w:val="00472D45"/>
    <w:rsid w:val="004814C4"/>
    <w:rsid w:val="004A2477"/>
    <w:rsid w:val="004B2275"/>
    <w:rsid w:val="004B6D2A"/>
    <w:rsid w:val="004B6F32"/>
    <w:rsid w:val="004B7571"/>
    <w:rsid w:val="004D161D"/>
    <w:rsid w:val="004D22BF"/>
    <w:rsid w:val="004E6C6B"/>
    <w:rsid w:val="004E7192"/>
    <w:rsid w:val="00500B6C"/>
    <w:rsid w:val="00507614"/>
    <w:rsid w:val="00514D31"/>
    <w:rsid w:val="00520349"/>
    <w:rsid w:val="00530467"/>
    <w:rsid w:val="00532184"/>
    <w:rsid w:val="00532DB0"/>
    <w:rsid w:val="00556B6F"/>
    <w:rsid w:val="00575EDE"/>
    <w:rsid w:val="005773AF"/>
    <w:rsid w:val="00581405"/>
    <w:rsid w:val="0058312E"/>
    <w:rsid w:val="00590D50"/>
    <w:rsid w:val="005A07D0"/>
    <w:rsid w:val="005A51F1"/>
    <w:rsid w:val="005B51F2"/>
    <w:rsid w:val="005B5C03"/>
    <w:rsid w:val="005D62ED"/>
    <w:rsid w:val="005F3CA5"/>
    <w:rsid w:val="00604977"/>
    <w:rsid w:val="00605146"/>
    <w:rsid w:val="006061FC"/>
    <w:rsid w:val="00617CC7"/>
    <w:rsid w:val="00643B87"/>
    <w:rsid w:val="00650EB4"/>
    <w:rsid w:val="00660D41"/>
    <w:rsid w:val="0066353D"/>
    <w:rsid w:val="006676B1"/>
    <w:rsid w:val="0067020D"/>
    <w:rsid w:val="00670585"/>
    <w:rsid w:val="006834CA"/>
    <w:rsid w:val="00686FE0"/>
    <w:rsid w:val="00696C79"/>
    <w:rsid w:val="006B75CA"/>
    <w:rsid w:val="006C22D3"/>
    <w:rsid w:val="006C4E94"/>
    <w:rsid w:val="006C5BBE"/>
    <w:rsid w:val="006C61D0"/>
    <w:rsid w:val="006D1B8D"/>
    <w:rsid w:val="006D248C"/>
    <w:rsid w:val="007058D1"/>
    <w:rsid w:val="00722D0B"/>
    <w:rsid w:val="00726960"/>
    <w:rsid w:val="007441ED"/>
    <w:rsid w:val="00745C76"/>
    <w:rsid w:val="0075180C"/>
    <w:rsid w:val="007540DB"/>
    <w:rsid w:val="007550BE"/>
    <w:rsid w:val="00763800"/>
    <w:rsid w:val="00764C59"/>
    <w:rsid w:val="007667C2"/>
    <w:rsid w:val="0077023D"/>
    <w:rsid w:val="0077202C"/>
    <w:rsid w:val="00774544"/>
    <w:rsid w:val="007912E3"/>
    <w:rsid w:val="00793294"/>
    <w:rsid w:val="0079369C"/>
    <w:rsid w:val="007B30A4"/>
    <w:rsid w:val="007B43FE"/>
    <w:rsid w:val="007B4C32"/>
    <w:rsid w:val="007B6EED"/>
    <w:rsid w:val="007C6074"/>
    <w:rsid w:val="007D14EA"/>
    <w:rsid w:val="007D2AFC"/>
    <w:rsid w:val="007D3CD8"/>
    <w:rsid w:val="007E34D4"/>
    <w:rsid w:val="007F0213"/>
    <w:rsid w:val="007F0F12"/>
    <w:rsid w:val="008002C9"/>
    <w:rsid w:val="00806530"/>
    <w:rsid w:val="0082188D"/>
    <w:rsid w:val="0082413B"/>
    <w:rsid w:val="008250BF"/>
    <w:rsid w:val="0083702D"/>
    <w:rsid w:val="00840C04"/>
    <w:rsid w:val="00843049"/>
    <w:rsid w:val="008537F9"/>
    <w:rsid w:val="008569E0"/>
    <w:rsid w:val="00860D43"/>
    <w:rsid w:val="0086132E"/>
    <w:rsid w:val="00862F7D"/>
    <w:rsid w:val="00863A96"/>
    <w:rsid w:val="00874C3B"/>
    <w:rsid w:val="0088043D"/>
    <w:rsid w:val="00885D42"/>
    <w:rsid w:val="00896789"/>
    <w:rsid w:val="008A499B"/>
    <w:rsid w:val="008A5A17"/>
    <w:rsid w:val="008C38BC"/>
    <w:rsid w:val="008C4FAE"/>
    <w:rsid w:val="008C727B"/>
    <w:rsid w:val="008D3366"/>
    <w:rsid w:val="008E7571"/>
    <w:rsid w:val="00902655"/>
    <w:rsid w:val="00906905"/>
    <w:rsid w:val="00911AD6"/>
    <w:rsid w:val="0091294D"/>
    <w:rsid w:val="009145F6"/>
    <w:rsid w:val="009211A7"/>
    <w:rsid w:val="009255B9"/>
    <w:rsid w:val="0095104A"/>
    <w:rsid w:val="00962718"/>
    <w:rsid w:val="0096473A"/>
    <w:rsid w:val="009730C6"/>
    <w:rsid w:val="00982920"/>
    <w:rsid w:val="0099178D"/>
    <w:rsid w:val="009A4002"/>
    <w:rsid w:val="009B6996"/>
    <w:rsid w:val="009C10C7"/>
    <w:rsid w:val="009D4287"/>
    <w:rsid w:val="009E1B0D"/>
    <w:rsid w:val="009E35F1"/>
    <w:rsid w:val="009E49FD"/>
    <w:rsid w:val="00A11BA1"/>
    <w:rsid w:val="00A13F2E"/>
    <w:rsid w:val="00A17D69"/>
    <w:rsid w:val="00A30C7D"/>
    <w:rsid w:val="00A42181"/>
    <w:rsid w:val="00A42D90"/>
    <w:rsid w:val="00A51FD9"/>
    <w:rsid w:val="00A55EE6"/>
    <w:rsid w:val="00A624BE"/>
    <w:rsid w:val="00A66B7F"/>
    <w:rsid w:val="00A74FA2"/>
    <w:rsid w:val="00A934B9"/>
    <w:rsid w:val="00AC5932"/>
    <w:rsid w:val="00AC75FC"/>
    <w:rsid w:val="00AC76A4"/>
    <w:rsid w:val="00AD0D2F"/>
    <w:rsid w:val="00AE1D30"/>
    <w:rsid w:val="00AE2900"/>
    <w:rsid w:val="00AE293E"/>
    <w:rsid w:val="00AE6FDF"/>
    <w:rsid w:val="00AF38D6"/>
    <w:rsid w:val="00AF6F66"/>
    <w:rsid w:val="00B12AD7"/>
    <w:rsid w:val="00B146F6"/>
    <w:rsid w:val="00B32B6B"/>
    <w:rsid w:val="00B4232E"/>
    <w:rsid w:val="00B66288"/>
    <w:rsid w:val="00B7469C"/>
    <w:rsid w:val="00B76CAF"/>
    <w:rsid w:val="00B81477"/>
    <w:rsid w:val="00B86B44"/>
    <w:rsid w:val="00B94B88"/>
    <w:rsid w:val="00BA2073"/>
    <w:rsid w:val="00BC134F"/>
    <w:rsid w:val="00BC35F0"/>
    <w:rsid w:val="00BC3FFB"/>
    <w:rsid w:val="00BD11EE"/>
    <w:rsid w:val="00BD46D0"/>
    <w:rsid w:val="00BD4E02"/>
    <w:rsid w:val="00BE170B"/>
    <w:rsid w:val="00BE2173"/>
    <w:rsid w:val="00BE2469"/>
    <w:rsid w:val="00BF22F8"/>
    <w:rsid w:val="00C03511"/>
    <w:rsid w:val="00C0458A"/>
    <w:rsid w:val="00C12618"/>
    <w:rsid w:val="00C14C56"/>
    <w:rsid w:val="00C24C96"/>
    <w:rsid w:val="00C27AE6"/>
    <w:rsid w:val="00C336A8"/>
    <w:rsid w:val="00C35148"/>
    <w:rsid w:val="00C378C6"/>
    <w:rsid w:val="00C44AD3"/>
    <w:rsid w:val="00C5343C"/>
    <w:rsid w:val="00C62D29"/>
    <w:rsid w:val="00C66B1D"/>
    <w:rsid w:val="00C73846"/>
    <w:rsid w:val="00C741BD"/>
    <w:rsid w:val="00C96459"/>
    <w:rsid w:val="00CA05C8"/>
    <w:rsid w:val="00CC09D7"/>
    <w:rsid w:val="00CC4B88"/>
    <w:rsid w:val="00CC7898"/>
    <w:rsid w:val="00CD10D7"/>
    <w:rsid w:val="00CD58D0"/>
    <w:rsid w:val="00CD6743"/>
    <w:rsid w:val="00CE4714"/>
    <w:rsid w:val="00CE6D34"/>
    <w:rsid w:val="00CE762A"/>
    <w:rsid w:val="00CF4DCC"/>
    <w:rsid w:val="00D136AA"/>
    <w:rsid w:val="00D1462B"/>
    <w:rsid w:val="00D20AF1"/>
    <w:rsid w:val="00D2218D"/>
    <w:rsid w:val="00D2561D"/>
    <w:rsid w:val="00D3078E"/>
    <w:rsid w:val="00D420B1"/>
    <w:rsid w:val="00D51B68"/>
    <w:rsid w:val="00D52BA8"/>
    <w:rsid w:val="00D56A59"/>
    <w:rsid w:val="00D576E3"/>
    <w:rsid w:val="00D607BD"/>
    <w:rsid w:val="00D60B7D"/>
    <w:rsid w:val="00D662C3"/>
    <w:rsid w:val="00D73756"/>
    <w:rsid w:val="00D76268"/>
    <w:rsid w:val="00D87182"/>
    <w:rsid w:val="00D87560"/>
    <w:rsid w:val="00D91002"/>
    <w:rsid w:val="00D97AF3"/>
    <w:rsid w:val="00DA20BE"/>
    <w:rsid w:val="00DA391A"/>
    <w:rsid w:val="00DA3B6B"/>
    <w:rsid w:val="00DC2FBF"/>
    <w:rsid w:val="00DD50A0"/>
    <w:rsid w:val="00DE2A50"/>
    <w:rsid w:val="00DE58AB"/>
    <w:rsid w:val="00DE62EE"/>
    <w:rsid w:val="00E005C5"/>
    <w:rsid w:val="00E05D41"/>
    <w:rsid w:val="00E155BE"/>
    <w:rsid w:val="00E20028"/>
    <w:rsid w:val="00E338C9"/>
    <w:rsid w:val="00E344F4"/>
    <w:rsid w:val="00E45630"/>
    <w:rsid w:val="00E53DDE"/>
    <w:rsid w:val="00E56FC6"/>
    <w:rsid w:val="00E6701A"/>
    <w:rsid w:val="00E72580"/>
    <w:rsid w:val="00E85875"/>
    <w:rsid w:val="00E875F3"/>
    <w:rsid w:val="00E87DEF"/>
    <w:rsid w:val="00E97BDF"/>
    <w:rsid w:val="00EA6426"/>
    <w:rsid w:val="00EB7E53"/>
    <w:rsid w:val="00EE21FF"/>
    <w:rsid w:val="00EE3DE9"/>
    <w:rsid w:val="00EE498F"/>
    <w:rsid w:val="00EE570B"/>
    <w:rsid w:val="00EE6639"/>
    <w:rsid w:val="00F00FB5"/>
    <w:rsid w:val="00F02A53"/>
    <w:rsid w:val="00F060D5"/>
    <w:rsid w:val="00F158B8"/>
    <w:rsid w:val="00F24D47"/>
    <w:rsid w:val="00F25AAE"/>
    <w:rsid w:val="00F444F6"/>
    <w:rsid w:val="00F56B70"/>
    <w:rsid w:val="00F57ABA"/>
    <w:rsid w:val="00F714BB"/>
    <w:rsid w:val="00F73714"/>
    <w:rsid w:val="00F87192"/>
    <w:rsid w:val="00F92C39"/>
    <w:rsid w:val="00F94A59"/>
    <w:rsid w:val="00F95F7A"/>
    <w:rsid w:val="00F9761E"/>
    <w:rsid w:val="00FA0166"/>
    <w:rsid w:val="00FC4E24"/>
    <w:rsid w:val="00FC6631"/>
    <w:rsid w:val="00FC78CC"/>
    <w:rsid w:val="00FD1304"/>
    <w:rsid w:val="00FF090A"/>
    <w:rsid w:val="00FF4A98"/>
    <w:rsid w:val="00FF583A"/>
    <w:rsid w:val="012D66CB"/>
    <w:rsid w:val="01FA47FF"/>
    <w:rsid w:val="02E4587F"/>
    <w:rsid w:val="03FB660C"/>
    <w:rsid w:val="04710B62"/>
    <w:rsid w:val="060317A8"/>
    <w:rsid w:val="060B2CCB"/>
    <w:rsid w:val="0689524C"/>
    <w:rsid w:val="07020054"/>
    <w:rsid w:val="07375BAD"/>
    <w:rsid w:val="09410F65"/>
    <w:rsid w:val="09630EDC"/>
    <w:rsid w:val="0D3F3A0E"/>
    <w:rsid w:val="0DD73C46"/>
    <w:rsid w:val="0F735BF1"/>
    <w:rsid w:val="0F865924"/>
    <w:rsid w:val="11E608FC"/>
    <w:rsid w:val="123E56A4"/>
    <w:rsid w:val="129C545E"/>
    <w:rsid w:val="12F06D4C"/>
    <w:rsid w:val="13710699"/>
    <w:rsid w:val="157F3188"/>
    <w:rsid w:val="16AD3796"/>
    <w:rsid w:val="19162453"/>
    <w:rsid w:val="1BC021BE"/>
    <w:rsid w:val="1BCD6688"/>
    <w:rsid w:val="1F325180"/>
    <w:rsid w:val="21072CE8"/>
    <w:rsid w:val="227635D6"/>
    <w:rsid w:val="270F5DA7"/>
    <w:rsid w:val="2826439F"/>
    <w:rsid w:val="28AF7842"/>
    <w:rsid w:val="29E440D6"/>
    <w:rsid w:val="2C094ACA"/>
    <w:rsid w:val="2C0F5CC8"/>
    <w:rsid w:val="2DEB6954"/>
    <w:rsid w:val="2E70537D"/>
    <w:rsid w:val="2EFA558F"/>
    <w:rsid w:val="2FDF6AFD"/>
    <w:rsid w:val="30574C62"/>
    <w:rsid w:val="314B289F"/>
    <w:rsid w:val="32244DFC"/>
    <w:rsid w:val="33182487"/>
    <w:rsid w:val="33CA472A"/>
    <w:rsid w:val="345A601E"/>
    <w:rsid w:val="3736112E"/>
    <w:rsid w:val="3801798E"/>
    <w:rsid w:val="38A345A1"/>
    <w:rsid w:val="38F35529"/>
    <w:rsid w:val="3A09167E"/>
    <w:rsid w:val="3BF84C04"/>
    <w:rsid w:val="3CB20AF7"/>
    <w:rsid w:val="3D2C2DB7"/>
    <w:rsid w:val="3E636CAD"/>
    <w:rsid w:val="3E930198"/>
    <w:rsid w:val="3F473ED8"/>
    <w:rsid w:val="3F79526A"/>
    <w:rsid w:val="40482FC5"/>
    <w:rsid w:val="409E221E"/>
    <w:rsid w:val="413761CE"/>
    <w:rsid w:val="43770B04"/>
    <w:rsid w:val="438E78A3"/>
    <w:rsid w:val="439B0C97"/>
    <w:rsid w:val="44983428"/>
    <w:rsid w:val="462C5BD6"/>
    <w:rsid w:val="465A6BE7"/>
    <w:rsid w:val="471C20EE"/>
    <w:rsid w:val="487D6BBD"/>
    <w:rsid w:val="48C83C2F"/>
    <w:rsid w:val="491312CF"/>
    <w:rsid w:val="49FC7FB5"/>
    <w:rsid w:val="4A6E0EB3"/>
    <w:rsid w:val="4B4340EE"/>
    <w:rsid w:val="4B971CAF"/>
    <w:rsid w:val="4C491A39"/>
    <w:rsid w:val="4D0A1335"/>
    <w:rsid w:val="4DF5278A"/>
    <w:rsid w:val="4DF74D1B"/>
    <w:rsid w:val="4EC372F3"/>
    <w:rsid w:val="509D09B3"/>
    <w:rsid w:val="52E53CDC"/>
    <w:rsid w:val="530E35C2"/>
    <w:rsid w:val="55B856D8"/>
    <w:rsid w:val="55EE10FA"/>
    <w:rsid w:val="57213FBB"/>
    <w:rsid w:val="572260EB"/>
    <w:rsid w:val="592B36E0"/>
    <w:rsid w:val="5A44578C"/>
    <w:rsid w:val="5CD050B5"/>
    <w:rsid w:val="5CD905F2"/>
    <w:rsid w:val="5FF27A39"/>
    <w:rsid w:val="5FFE6530"/>
    <w:rsid w:val="60BA0556"/>
    <w:rsid w:val="622173F0"/>
    <w:rsid w:val="62F67840"/>
    <w:rsid w:val="633D2BD8"/>
    <w:rsid w:val="637037E1"/>
    <w:rsid w:val="63864720"/>
    <w:rsid w:val="63C74285"/>
    <w:rsid w:val="640C00AA"/>
    <w:rsid w:val="651B533C"/>
    <w:rsid w:val="656041B5"/>
    <w:rsid w:val="67DB7004"/>
    <w:rsid w:val="682B7F8C"/>
    <w:rsid w:val="69DB153D"/>
    <w:rsid w:val="6C764577"/>
    <w:rsid w:val="6D035033"/>
    <w:rsid w:val="70210C11"/>
    <w:rsid w:val="703B2D36"/>
    <w:rsid w:val="712026E3"/>
    <w:rsid w:val="71C1218A"/>
    <w:rsid w:val="725F2166"/>
    <w:rsid w:val="7278201F"/>
    <w:rsid w:val="72AB41A3"/>
    <w:rsid w:val="72D336FA"/>
    <w:rsid w:val="73076EFF"/>
    <w:rsid w:val="73155AC0"/>
    <w:rsid w:val="7386076C"/>
    <w:rsid w:val="73E55492"/>
    <w:rsid w:val="74257F85"/>
    <w:rsid w:val="75122901"/>
    <w:rsid w:val="77D72664"/>
    <w:rsid w:val="795E20DD"/>
    <w:rsid w:val="7A4060CE"/>
    <w:rsid w:val="7AEA62F8"/>
    <w:rsid w:val="7C217284"/>
    <w:rsid w:val="7CAA09FC"/>
    <w:rsid w:val="7D3E7C93"/>
    <w:rsid w:val="7DBD2466"/>
    <w:rsid w:val="7E370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8"/>
      <w:szCs w:val="22"/>
      <w:lang w:val="en-US" w:eastAsia="zh-CN" w:bidi="ar-SA"/>
    </w:rPr>
  </w:style>
  <w:style w:type="paragraph" w:styleId="2">
    <w:name w:val="heading 2"/>
    <w:basedOn w:val="1"/>
    <w:next w:val="1"/>
    <w:link w:val="13"/>
    <w:unhideWhenUsed/>
    <w:qFormat/>
    <w:uiPriority w:val="0"/>
    <w:pPr>
      <w:keepNext/>
      <w:outlineLvl w:val="1"/>
    </w:pPr>
    <w:rPr>
      <w:rFonts w:asciiTheme="majorHAnsi" w:hAnsiTheme="majorHAnsi" w:eastAsiaTheme="majorEastAsia" w:cstheme="majorBidi"/>
      <w:b/>
      <w:sz w:val="32"/>
    </w:rPr>
  </w:style>
  <w:style w:type="paragraph" w:styleId="3">
    <w:name w:val="heading 3"/>
    <w:basedOn w:val="1"/>
    <w:next w:val="1"/>
    <w:qFormat/>
    <w:uiPriority w:val="9"/>
    <w:pPr>
      <w:widowControl/>
      <w:spacing w:before="100" w:beforeAutospacing="1" w:after="100" w:afterAutospacing="1"/>
      <w:jc w:val="left"/>
      <w:outlineLvl w:val="2"/>
    </w:pPr>
    <w:rPr>
      <w:rFonts w:ascii="宋体" w:hAnsi="宋体" w:cs="宋体"/>
      <w:b/>
      <w:bCs/>
      <w:kern w:val="0"/>
      <w:sz w:val="27"/>
      <w:szCs w:val="27"/>
    </w:rPr>
  </w:style>
  <w:style w:type="paragraph" w:styleId="4">
    <w:name w:val="heading 4"/>
    <w:basedOn w:val="1"/>
    <w:next w:val="1"/>
    <w:link w:val="18"/>
    <w:semiHidden/>
    <w:unhideWhenUsed/>
    <w:qFormat/>
    <w:uiPriority w:val="0"/>
    <w:pPr>
      <w:keepNext/>
      <w:keepLines/>
      <w:spacing w:before="280" w:after="290" w:line="376" w:lineRule="auto"/>
      <w:outlineLvl w:val="3"/>
    </w:pPr>
    <w:rPr>
      <w:rFonts w:asciiTheme="majorHAnsi" w:hAnsiTheme="majorHAnsi" w:eastAsiaTheme="majorEastAsia" w:cstheme="majorBidi"/>
      <w:b/>
      <w:bCs/>
      <w:szCs w:val="2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9"/>
    <w:semiHidden/>
    <w:unhideWhenUsed/>
    <w:qFormat/>
    <w:uiPriority w:val="0"/>
    <w:rPr>
      <w:sz w:val="18"/>
      <w:szCs w:val="18"/>
    </w:rPr>
  </w:style>
  <w:style w:type="paragraph" w:styleId="6">
    <w:name w:val="footer"/>
    <w:basedOn w:val="1"/>
    <w:link w:val="15"/>
    <w:qFormat/>
    <w:uiPriority w:val="99"/>
    <w:pPr>
      <w:tabs>
        <w:tab w:val="center" w:pos="4153"/>
        <w:tab w:val="right" w:pos="8306"/>
      </w:tabs>
      <w:snapToGrid w:val="0"/>
    </w:pPr>
  </w:style>
  <w:style w:type="paragraph" w:styleId="7">
    <w:name w:val="header"/>
    <w:basedOn w:val="1"/>
    <w:link w:val="14"/>
    <w:qFormat/>
    <w:uiPriority w:val="99"/>
    <w:pPr>
      <w:tabs>
        <w:tab w:val="center" w:pos="4153"/>
        <w:tab w:val="right" w:pos="8306"/>
      </w:tabs>
      <w:snapToGrid w:val="0"/>
    </w:p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2">
    <w:name w:val="List Paragraph"/>
    <w:basedOn w:val="1"/>
    <w:link w:val="17"/>
    <w:qFormat/>
    <w:uiPriority w:val="34"/>
    <w:pPr>
      <w:ind w:firstLine="420"/>
    </w:pPr>
  </w:style>
  <w:style w:type="character" w:customStyle="1" w:styleId="13">
    <w:name w:val="标题 2 Char"/>
    <w:basedOn w:val="11"/>
    <w:link w:val="2"/>
    <w:qFormat/>
    <w:uiPriority w:val="0"/>
    <w:rPr>
      <w:rFonts w:asciiTheme="majorHAnsi" w:hAnsiTheme="majorHAnsi" w:eastAsiaTheme="majorEastAsia" w:cstheme="majorBidi"/>
      <w:b/>
      <w:kern w:val="2"/>
      <w:sz w:val="32"/>
      <w:szCs w:val="22"/>
      <w:lang w:eastAsia="zh-CN"/>
    </w:rPr>
  </w:style>
  <w:style w:type="character" w:customStyle="1" w:styleId="14">
    <w:name w:val="页眉 Char"/>
    <w:basedOn w:val="11"/>
    <w:link w:val="7"/>
    <w:qFormat/>
    <w:uiPriority w:val="99"/>
    <w:rPr>
      <w:rFonts w:ascii="Calibri" w:hAnsi="Calibri" w:eastAsia="宋体" w:cs="Times New Roman"/>
      <w:kern w:val="2"/>
      <w:sz w:val="28"/>
      <w:szCs w:val="22"/>
      <w:lang w:eastAsia="zh-CN"/>
    </w:rPr>
  </w:style>
  <w:style w:type="character" w:customStyle="1" w:styleId="15">
    <w:name w:val="页脚 Char"/>
    <w:basedOn w:val="11"/>
    <w:link w:val="6"/>
    <w:qFormat/>
    <w:uiPriority w:val="99"/>
    <w:rPr>
      <w:rFonts w:ascii="Calibri" w:hAnsi="Calibri" w:eastAsia="宋体" w:cs="Times New Roman"/>
      <w:kern w:val="2"/>
      <w:sz w:val="28"/>
      <w:szCs w:val="22"/>
      <w:lang w:eastAsia="zh-CN"/>
    </w:rPr>
  </w:style>
  <w:style w:type="paragraph" w:customStyle="1" w:styleId="16">
    <w:name w:val="标题3"/>
    <w:basedOn w:val="12"/>
    <w:next w:val="1"/>
    <w:qFormat/>
    <w:uiPriority w:val="0"/>
    <w:pPr>
      <w:numPr>
        <w:ilvl w:val="0"/>
        <w:numId w:val="1"/>
      </w:numPr>
      <w:autoSpaceDE w:val="0"/>
      <w:autoSpaceDN w:val="0"/>
      <w:adjustRightInd w:val="0"/>
      <w:spacing w:before="180" w:after="60"/>
      <w:ind w:firstLine="0"/>
      <w:jc w:val="left"/>
      <w:outlineLvl w:val="2"/>
    </w:pPr>
    <w:rPr>
      <w:rFonts w:ascii="黑体" w:hAnsi="黑体" w:eastAsia="黑体" w:cs="仿宋"/>
      <w:kern w:val="0"/>
      <w:szCs w:val="30"/>
    </w:rPr>
  </w:style>
  <w:style w:type="character" w:customStyle="1" w:styleId="17">
    <w:name w:val="列出段落 Char"/>
    <w:basedOn w:val="11"/>
    <w:link w:val="12"/>
    <w:qFormat/>
    <w:uiPriority w:val="34"/>
    <w:rPr>
      <w:rFonts w:ascii="Calibri" w:hAnsi="Calibri" w:eastAsia="宋体" w:cs="Times New Roman"/>
      <w:kern w:val="2"/>
      <w:sz w:val="28"/>
      <w:szCs w:val="22"/>
    </w:rPr>
  </w:style>
  <w:style w:type="character" w:customStyle="1" w:styleId="18">
    <w:name w:val="标题 4 Char"/>
    <w:basedOn w:val="11"/>
    <w:link w:val="4"/>
    <w:semiHidden/>
    <w:qFormat/>
    <w:uiPriority w:val="0"/>
    <w:rPr>
      <w:rFonts w:asciiTheme="majorHAnsi" w:hAnsiTheme="majorHAnsi" w:eastAsiaTheme="majorEastAsia" w:cstheme="majorBidi"/>
      <w:b/>
      <w:bCs/>
      <w:kern w:val="2"/>
      <w:sz w:val="28"/>
      <w:szCs w:val="28"/>
    </w:rPr>
  </w:style>
  <w:style w:type="character" w:customStyle="1" w:styleId="19">
    <w:name w:val="批注框文本 Char"/>
    <w:basedOn w:val="11"/>
    <w:link w:val="5"/>
    <w:semiHidden/>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f8eed50f-0437-4272-a0e0-e617d86d8569</errorID>
      <errorWord>发展不均衡、不充分</errorWord>
      <group>L1_Political</group>
      <groupName>政治性问题</groupName>
      <ability>L2_Keyword</ability>
      <abilityName>固定表述</abilityName>
      <candidateList>
        <item>发展不平衡、不充分</item>
      </candidateList>
      <explain>词汇“发展不平衡、不充分”在特定场景下为固定表述形式，请确认此处的“发展不均衡、不充分”是否存在不当。</explain>
      <paraID> 739190D</paraID>
      <start>22</start>
      <end>31</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b40ba-27e6-48e0-b213-2c650782d286}">
  <ds:schemaRefs/>
</ds:datastoreItem>
</file>

<file path=customXml/itemProps2.xml><?xml version="1.0" encoding="utf-8"?>
<ds:datastoreItem xmlns:ds="http://schemas.openxmlformats.org/officeDocument/2006/customXml" ds:itemID="{1C6A2C06-A700-446A-B5E8-04B2EAEF755C}">
  <ds:schemaRefs/>
</ds:datastoreItem>
</file>

<file path=docProps/app.xml><?xml version="1.0" encoding="utf-8"?>
<Properties xmlns="http://schemas.openxmlformats.org/officeDocument/2006/extended-properties" xmlns:vt="http://schemas.openxmlformats.org/officeDocument/2006/docPropsVTypes">
  <Template>Normal.dotm</Template>
  <Pages>6</Pages>
  <Words>2074</Words>
  <Characters>2206</Characters>
  <Lines>20</Lines>
  <Paragraphs>5</Paragraphs>
  <TotalTime>1609</TotalTime>
  <ScaleCrop>false</ScaleCrop>
  <LinksUpToDate>false</LinksUpToDate>
  <CharactersWithSpaces>2210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2021-04-21T00:41:00Z</dcterms:created>
  <dc:creator>智慧S</dc:creator>
  <cp:lastModifiedBy>突突突</cp:lastModifiedBy>
  <cp:lastPrinted>2026-01-14T01:14:00Z</cp:lastPrinted>
  <dcterms:modified xsi:type="dcterms:W3CDTF">2026-01-14T02:46:45Z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763E885BB8274B0F807CCAF5274D7386_13</vt:lpwstr>
  </property>
  <property fmtid="{D5CDD505-2E9C-101B-9397-08002B2CF9AE}" pid="4" name="KSOTemplateDocerSaveRecord">
    <vt:lpwstr>eyJoZGlkIjoiMmYzN2I1NTQ5ZmIxZjlkNmI4NTQ1OTlmZmYwMmI4OTgiLCJ1c2VySWQiOiIzNzI1MzA0MzYifQ==</vt:lpwstr>
  </property>
</Properties>
</file>