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E4140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60" w:after="260" w:line="224" w:lineRule="auto"/>
        <w:jc w:val="center"/>
        <w:textAlignment w:val="baseline"/>
        <w:rPr>
          <w:rStyle w:val="11"/>
          <w:rFonts w:ascii="Times New Roman" w:hAnsi="Times New Roman" w:cs="Times New Roman"/>
          <w:color w:val="auto"/>
          <w:lang w:eastAsia="zh-CN" w:bidi="ar"/>
        </w:rPr>
      </w:pPr>
      <w:bookmarkStart w:id="0" w:name="_GoBack"/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lang w:eastAsia="zh-CN" w:bidi="ar"/>
        </w:rPr>
        <w:t>2023</w:t>
      </w:r>
      <w:r>
        <w:rPr>
          <w:rStyle w:val="11"/>
          <w:rFonts w:ascii="Times New Roman" w:hAnsi="Times New Roman" w:cs="Times New Roman"/>
          <w:color w:val="auto"/>
          <w:lang w:eastAsia="zh-CN" w:bidi="ar"/>
        </w:rPr>
        <w:t>年苏州市政府性基金项目目录</w:t>
      </w:r>
    </w:p>
    <w:bookmarkEnd w:id="0"/>
    <w:p w14:paraId="57D8A67D">
      <w:pPr>
        <w:jc w:val="center"/>
        <w:textAlignment w:val="center"/>
        <w:rPr>
          <w:rStyle w:val="12"/>
          <w:rFonts w:ascii="Times New Roman" w:hAnsi="Times New Roman" w:cs="Times New Roman"/>
          <w:color w:val="auto"/>
          <w:lang w:eastAsia="zh-CN" w:bidi="ar"/>
        </w:rPr>
      </w:pPr>
    </w:p>
    <w:tbl>
      <w:tblPr>
        <w:tblStyle w:val="7"/>
        <w:tblW w:w="498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793"/>
        <w:gridCol w:w="3257"/>
        <w:gridCol w:w="4770"/>
        <w:gridCol w:w="3324"/>
      </w:tblGrid>
      <w:tr w14:paraId="27F19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93B0C7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lang w:eastAsia="zh-CN" w:bidi="ar"/>
              </w:rPr>
              <w:t>序号</w:t>
            </w: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5F419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lang w:eastAsia="zh-CN" w:bidi="ar"/>
              </w:rPr>
              <w:t>项目名称</w:t>
            </w:r>
          </w:p>
        </w:tc>
        <w:tc>
          <w:tcPr>
            <w:tcW w:w="11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11F28B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lang w:eastAsia="zh-CN" w:bidi="ar"/>
              </w:rPr>
              <w:t>征收标准</w:t>
            </w:r>
          </w:p>
        </w:tc>
        <w:tc>
          <w:tcPr>
            <w:tcW w:w="17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224CE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lang w:eastAsia="zh-CN" w:bidi="ar"/>
              </w:rPr>
              <w:t>收费及资金管理文件依据</w:t>
            </w:r>
          </w:p>
        </w:tc>
        <w:tc>
          <w:tcPr>
            <w:tcW w:w="12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AB41B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lang w:eastAsia="zh-CN" w:bidi="ar"/>
              </w:rPr>
              <w:t>备注</w:t>
            </w:r>
          </w:p>
        </w:tc>
      </w:tr>
      <w:tr w14:paraId="34ACF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4F1967">
            <w:pPr>
              <w:textAlignment w:val="center"/>
              <w:rPr>
                <w:rFonts w:ascii="Times New Roman" w:hAnsi="Times New Roman" w:eastAsia="方正小标宋简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Style w:val="13"/>
                <w:rFonts w:hint="default" w:ascii="Times New Roman" w:hAnsi="Times New Roman" w:cs="Times New Roman"/>
                <w:color w:val="auto"/>
                <w:lang w:eastAsia="zh-CN" w:bidi="ar"/>
              </w:rPr>
              <w:t>一、收入归属地方（或地方参与分成）的政府性基金项目（</w:t>
            </w:r>
            <w:r>
              <w:rPr>
                <w:rStyle w:val="13"/>
                <w:rFonts w:hint="eastAsia" w:ascii="Times New Roman" w:hAnsi="Times New Roman" w:cs="Times New Roman"/>
                <w:color w:val="auto"/>
                <w:lang w:val="en-US" w:eastAsia="zh-CN" w:bidi="ar"/>
              </w:rPr>
              <w:t>7</w:t>
            </w:r>
            <w:r>
              <w:rPr>
                <w:rStyle w:val="13"/>
                <w:rFonts w:hint="default" w:ascii="Times New Roman" w:hAnsi="Times New Roman" w:cs="Times New Roman"/>
                <w:color w:val="auto"/>
                <w:lang w:eastAsia="zh-CN" w:bidi="ar"/>
              </w:rPr>
              <w:t>项）</w:t>
            </w:r>
          </w:p>
        </w:tc>
      </w:tr>
      <w:tr w14:paraId="43D2F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63ADF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08D1A6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森林植被恢复费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BAC376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区分使用林地情况，标准为</w:t>
            </w:r>
            <w:r>
              <w:rPr>
                <w:rStyle w:val="15"/>
                <w:rFonts w:eastAsia="方正仿宋_GBK"/>
                <w:color w:val="auto"/>
                <w:lang w:eastAsia="zh-CN"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－</w:t>
            </w:r>
            <w:r>
              <w:rPr>
                <w:rStyle w:val="15"/>
                <w:rFonts w:eastAsia="方正仿宋_GBK"/>
                <w:color w:val="auto"/>
                <w:lang w:eastAsia="zh-CN" w:bidi="ar"/>
              </w:rPr>
              <w:t>40</w:t>
            </w: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元</w:t>
            </w:r>
            <w:r>
              <w:rPr>
                <w:rStyle w:val="15"/>
                <w:rFonts w:eastAsia="方正仿宋_GBK"/>
                <w:color w:val="auto"/>
                <w:lang w:eastAsia="zh-CN" w:bidi="ar"/>
              </w:rPr>
              <w:t>/</w:t>
            </w: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平方米。</w:t>
            </w:r>
          </w:p>
        </w:tc>
        <w:tc>
          <w:tcPr>
            <w:tcW w:w="17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2D6F54">
            <w:pPr>
              <w:jc w:val="both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《森林法》，苏农林〔1993〕03号、苏财综〔93〕5号、苏价费联〔1993〕4号，财综〔2002〕73号，苏财综〔2003〕13号，财税〔2015〕122号，苏财综〔2016〕20号</w:t>
            </w:r>
          </w:p>
        </w:tc>
        <w:tc>
          <w:tcPr>
            <w:tcW w:w="1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861269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农村居民规定标准住宅、农村集体经济组织修建的公益性项目及保障性安居工程减免</w:t>
            </w:r>
          </w:p>
        </w:tc>
      </w:tr>
      <w:tr w14:paraId="10B7C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329DB7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BE5AFC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水利建设基金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099AD7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　</w:t>
            </w:r>
          </w:p>
        </w:tc>
        <w:tc>
          <w:tcPr>
            <w:tcW w:w="17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9BADF7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国发〔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1997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7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33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号，苏财综〔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92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号，苏政发〔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61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号，财综函〔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33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号，财办综〔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111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号，苏政发〔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66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2020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72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</w:t>
            </w:r>
          </w:p>
        </w:tc>
        <w:tc>
          <w:tcPr>
            <w:tcW w:w="1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96683F">
            <w:pPr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  <w:lang w:eastAsia="zh-CN" w:bidi="ar"/>
              </w:rPr>
              <w:t>　</w:t>
            </w:r>
          </w:p>
        </w:tc>
      </w:tr>
      <w:tr w14:paraId="1F433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D4A76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　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596CE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Style w:val="15"/>
                <w:rFonts w:eastAsia="方正仿宋_GBK"/>
                <w:color w:val="auto"/>
                <w:lang w:eastAsia="zh-CN" w:bidi="ar"/>
              </w:rPr>
              <w:t>(1)</w:t>
            </w: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按规定提取和安排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291CD7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市、县水利建设基金的来源为：市、县收取的城市基础设施配套费提取3％，城建税中划出不少于15%用于城市防洪和水源工程建设，市县人民政府确定的政府性基金和行政事业性收费项目提取部分。</w:t>
            </w:r>
          </w:p>
        </w:tc>
        <w:tc>
          <w:tcPr>
            <w:tcW w:w="17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31D799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苏政发〔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2023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62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</w:t>
            </w:r>
          </w:p>
        </w:tc>
        <w:tc>
          <w:tcPr>
            <w:tcW w:w="1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18C07E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　</w:t>
            </w:r>
          </w:p>
        </w:tc>
      </w:tr>
      <w:tr w14:paraId="4D3DA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atLeast"/>
        </w:trPr>
        <w:tc>
          <w:tcPr>
            <w:tcW w:w="23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27A8EB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　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3249A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Style w:val="15"/>
                <w:rFonts w:eastAsia="方正仿宋_GBK"/>
                <w:color w:val="auto"/>
                <w:lang w:eastAsia="zh-CN" w:bidi="ar"/>
              </w:rPr>
              <w:t>(2)</w:t>
            </w: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农业重点开发建设资金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68D88F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国家、集体、个人非农业建设新征(拨)占用土地时缴纳，2400元/亩。</w:t>
            </w:r>
          </w:p>
          <w:p w14:paraId="1782A320">
            <w:pPr>
              <w:jc w:val="both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扣除2%业务费、1%奖励后，省60%、市10%、县区30%。</w:t>
            </w:r>
          </w:p>
        </w:tc>
        <w:tc>
          <w:tcPr>
            <w:tcW w:w="17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365101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苏政办发〔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1995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62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号，财综字〔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1998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143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1999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90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号，苏政办发〔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77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号、苏政发〔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105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号，苏政办发〔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115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号，苏政办发〔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137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号，苏价费〔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2009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291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2009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47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号，苏政发〔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66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号，苏发改服价发〔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2018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1348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2020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72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,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</w:t>
            </w:r>
          </w:p>
        </w:tc>
        <w:tc>
          <w:tcPr>
            <w:tcW w:w="1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433113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中小学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(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含幼儿园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)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校舍安全工程建设免收。自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日起继续征收，截止日期财政部另行明确。</w:t>
            </w:r>
          </w:p>
        </w:tc>
      </w:tr>
      <w:tr w14:paraId="04D73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7" w:hRule="atLeast"/>
        </w:trPr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F524F4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B828BA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文化事业建设费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E2DEA6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各种营业性娱乐场所和广播电台、电视台和报纸、刊物等广告媒介单位以及户外广告经营单位营业收入的</w:t>
            </w:r>
            <w:r>
              <w:rPr>
                <w:rStyle w:val="15"/>
                <w:rFonts w:eastAsia="方正仿宋_GBK"/>
                <w:color w:val="auto"/>
                <w:lang w:eastAsia="zh-CN" w:bidi="ar"/>
              </w:rPr>
              <w:t>3%</w:t>
            </w: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，营改增试点行业按提供增值税应税服务取得的销售额的</w:t>
            </w:r>
            <w:r>
              <w:rPr>
                <w:rStyle w:val="15"/>
                <w:rFonts w:eastAsia="方正仿宋_GBK"/>
                <w:color w:val="auto"/>
                <w:lang w:eastAsia="zh-CN"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％计征。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省集中市县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。</w:t>
            </w:r>
          </w:p>
        </w:tc>
        <w:tc>
          <w:tcPr>
            <w:tcW w:w="17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0F9FD7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国发〔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1996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37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号，财税字〔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1997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95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号，国办发〔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43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14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号，苏发〔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74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33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92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68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96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2013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102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2014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122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2015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25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42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60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53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46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号，财政部、国家税务总局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2020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年第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25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号公告、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年第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7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号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公告，苏政规〔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2023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号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26C40A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增值税小规模纳税人中月销售额不超过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万元（按季纳税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万元）的企业和非企业性单位提供的应税服务免征。自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7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日至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2024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日，对归属中央和地方收入的文化事业建设费，统一按照缴纳义务人应缴费额的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50%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减征。</w:t>
            </w:r>
          </w:p>
        </w:tc>
      </w:tr>
      <w:tr w14:paraId="5B5EE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8" w:hRule="atLeast"/>
        </w:trPr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50DC60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F8A7A2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教育费附加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C060BC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我市所有缴纳增值税、消费税的单位和个人实际缴纳额的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3%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。</w:t>
            </w:r>
          </w:p>
        </w:tc>
        <w:tc>
          <w:tcPr>
            <w:tcW w:w="17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80F109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《教育法》，国务院令第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60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号，国发〔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1986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50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号，中发〔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号，国发〔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1994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号，苏政发〔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118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92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号，苏政发〔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66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98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号、苏政发〔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号，苏价服〔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159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2014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122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46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号，财政部、国家税务总局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年第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号公告、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年第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号公告，苏财税〔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2007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53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41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号，国办发〔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45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99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号，苏政办发〔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101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号，苏政规〔2023〕1号，苏政办规〔2023〕9号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5F07B3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保障性安居工程建设免收。自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日起，纳税的月销售额或营业额不超过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10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万元（含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10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万元）以及按季纳税的季度销售额或营业额不超过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30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万元（含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30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万元）的缴纳义务人免征。自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日至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2024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12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日，对增值税小规模纳税人、小型微利企业和个体工商户按照税额的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50%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减征。自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日起，纳入产教融合型企业建设培育范围的试点企业，符合规定的，可按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30%</w:t>
            </w:r>
            <w:r>
              <w:rPr>
                <w:rStyle w:val="20"/>
                <w:rFonts w:hint="default" w:ascii="Times New Roman" w:hAnsi="Times New Roman" w:cs="Times New Roman"/>
                <w:color w:val="auto"/>
                <w:lang w:eastAsia="zh-CN" w:bidi="ar"/>
              </w:rPr>
              <w:t>比例，抵免当年应缴教育费附加。</w:t>
            </w:r>
          </w:p>
        </w:tc>
      </w:tr>
      <w:tr w14:paraId="7FBEC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</w:trPr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510BFB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8D14FA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地方教育附加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48D147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我市所有缴纳增值税、消费税的单位和个人实际缴纳额的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2%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。</w:t>
            </w:r>
          </w:p>
        </w:tc>
        <w:tc>
          <w:tcPr>
            <w:tcW w:w="17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74B26C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《教育法》，中发〔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号，国发〔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1994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1994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58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号，苏政发〔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105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号，财综函〔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号，苏政发〔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66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98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号、苏政发〔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号，苏价服〔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159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46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号，财政部、国家税务总局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年第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号公告、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年第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号公告，苏财税〔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2007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53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41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号，国办发〔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45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99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号，苏政办发〔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101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号，苏政规〔2023〕1号，苏政办规〔2023〕9号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BB3CFD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在法律未作调整的情况下继续保留，保障性安居工程建设免收。自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2016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日起，纳税的月销售额或营业额不超过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10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万元（含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10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万元）以及按季纳税的季度销售额或营业额不超过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30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万元（含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30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万元）的缴纳义务人免征。自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日至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日，对增值税小规模纳税人按照税额的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50%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减征；自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日至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2024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日，对增值税小规模纳税人、小型微利企业和个体工商户按照税额的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50%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减征。自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2019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日起，纳入产教融合型企业建设培育范围的试点企业，符合规定的，可按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30%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比例，抵免当年应缴地方教育附加。</w:t>
            </w:r>
          </w:p>
        </w:tc>
      </w:tr>
      <w:tr w14:paraId="31B07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9" w:hRule="atLeast"/>
        </w:trPr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1EC70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733BF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残疾人就业保障金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BBD020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保障金年缴纳额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=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（上年用人单位在职职工人数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×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规定的安排残疾人就业比例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-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上年用人单位实际安排的残疾人就业人数）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×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上年用人单位在职职工年平均工资。省集中市县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5%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。自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2020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日起至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2022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年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月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31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日，对安排残疾人就业比例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（含）以上但低于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1.5%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的征缴单位，征收比例不高于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50%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；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1%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以下的征收比例不高于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90%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。</w:t>
            </w:r>
          </w:p>
        </w:tc>
        <w:tc>
          <w:tcPr>
            <w:tcW w:w="17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338BF6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《残疾人保障法》，财综字〔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号，省政府令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年第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172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167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号、苏价费〔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461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号、苏残劳〔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1996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2001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33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92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号，苏地税发〔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2006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262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2014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122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72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2017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2017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2017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17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号，财税〔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39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号、苏财综〔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2018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号，发改价格规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[2019]2015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号、苏发改收费发〔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2020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〕</w:t>
            </w:r>
            <w:r>
              <w:rPr>
                <w:rStyle w:val="19"/>
                <w:rFonts w:eastAsia="方正仿宋_GBK"/>
                <w:color w:val="auto"/>
                <w:lang w:eastAsia="zh-CN" w:bidi="ar"/>
              </w:rPr>
              <w:t>438</w:t>
            </w:r>
            <w:r>
              <w:rPr>
                <w:rStyle w:val="18"/>
                <w:rFonts w:hint="default" w:ascii="Times New Roman" w:hAnsi="Times New Roman" w:cs="Times New Roman"/>
                <w:color w:val="auto"/>
                <w:lang w:eastAsia="zh-CN" w:bidi="ar"/>
              </w:rPr>
              <w:t>号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DFE0ED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征收标准上限为当地社会平均工资的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2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倍。在职职工人数在</w:t>
            </w:r>
            <w:r>
              <w:rPr>
                <w:rStyle w:val="17"/>
                <w:rFonts w:eastAsia="方正仿宋_GBK"/>
                <w:color w:val="auto"/>
                <w:lang w:eastAsia="zh-CN" w:bidi="ar"/>
              </w:rPr>
              <w:t>30</w:t>
            </w:r>
            <w:r>
              <w:rPr>
                <w:rStyle w:val="16"/>
                <w:rFonts w:hint="default" w:ascii="Times New Roman" w:hAnsi="Times New Roman" w:cs="Times New Roman"/>
                <w:color w:val="auto"/>
                <w:lang w:eastAsia="zh-CN" w:bidi="ar"/>
              </w:rPr>
              <w:t>人（含）以下的企业，暂免征收。</w:t>
            </w:r>
          </w:p>
        </w:tc>
      </w:tr>
      <w:tr w14:paraId="2D711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4" w:hRule="atLeast"/>
        </w:trPr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990562">
            <w:pPr>
              <w:jc w:val="center"/>
              <w:textAlignment w:val="center"/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</w:pPr>
            <w:r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  <w:t>7</w:t>
            </w: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FFE1C">
            <w:pPr>
              <w:textAlignment w:val="center"/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城市基础设施配套费</w:t>
            </w:r>
          </w:p>
        </w:tc>
        <w:tc>
          <w:tcPr>
            <w:tcW w:w="11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D48870">
            <w:pPr>
              <w:textAlignment w:val="center"/>
              <w:rPr>
                <w:rStyle w:val="14"/>
                <w:rFonts w:hint="default" w:ascii="Times New Roman" w:hAnsi="Times New Roman" w:cs="Times New Roman"/>
                <w:color w:val="auto"/>
                <w:lang w:eastAsia="zh-CN" w:bidi="ar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县城每平方米75元，中等城市90元，大城市105元。在建制镇规划区内进行各类工程建设的单位和沿街建筑的个人，每平方米20-50元。</w:t>
            </w:r>
          </w:p>
        </w:tc>
        <w:tc>
          <w:tcPr>
            <w:tcW w:w="17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0E6292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财综函〔2002〕3号，苏政发〔1998〕48号，苏价费〔1998〕286号、苏财综〔1998〕135号，苏政发〔2002〕105号，苏价服〔2003〕115号、苏财综〔2003〕37号（镇江），苏财综〔2003〕24号（统一南京市收取办法），苏价服〔2006〕225号、苏财综〔2006〕42号，苏价服〔2006〕472号、苏财综〔2006〕97号，苏价涉〔1994〕76号、苏财综〔94〕66号，苏办发〔1996〕19号，苏价服〔2001〕377号，苏价服〔2004〕4号、苏财综〔2004〕1号，苏价费〔2009〕291号、苏财综〔2009〕47号，苏价服〔2012〕159号，苏价服〔2014〕49号，苏发改服价发〔2018〕1348号，财税〔2019〕53号，苏财综〔2019〕38号，财政部公告2019年第76号，财综〔2007〕53号，财综〔2011〕41号，国办发〔2011〕45号，财综〔2012〕5号，财综〔2012〕99号，苏政办发〔2021〕101号</w:t>
            </w:r>
          </w:p>
        </w:tc>
        <w:tc>
          <w:tcPr>
            <w:tcW w:w="12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B36CAA">
            <w:pPr>
              <w:textAlignment w:val="center"/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0"/>
                <w:szCs w:val="20"/>
                <w:lang w:eastAsia="zh-CN" w:bidi="ar"/>
              </w:rPr>
              <w:t>对农民在建制镇规划区范围内建住房、中小学(含幼儿园)校舍安全工程、保障性安居工程建设免收。自2019年7月1日起，对易地扶贫搬迁项目免征。自2019年6月1日至2025年12月31日，用于提供社区养老、托育、家政服务的建设项目免征。</w:t>
            </w:r>
          </w:p>
        </w:tc>
      </w:tr>
    </w:tbl>
    <w:p w14:paraId="48E99887">
      <w:pPr>
        <w:tabs>
          <w:tab w:val="left" w:pos="3475"/>
        </w:tabs>
        <w:rPr>
          <w:rStyle w:val="12"/>
          <w:rFonts w:hint="eastAsia" w:ascii="Times New Roman" w:hAnsi="Times New Roman" w:cs="Times New Roman"/>
          <w:color w:val="auto"/>
          <w:sz w:val="20"/>
          <w:szCs w:val="20"/>
          <w:lang w:eastAsia="zh-CN" w:bidi="ar"/>
        </w:rPr>
      </w:pPr>
    </w:p>
    <w:p w14:paraId="460EDAE9">
      <w:pPr>
        <w:rPr>
          <w:color w:val="auto"/>
        </w:rPr>
      </w:pPr>
    </w:p>
    <w:p w14:paraId="74D4E953"/>
    <w:sectPr>
      <w:footerReference r:id="rId3" w:type="default"/>
      <w:pgSz w:w="16840" w:h="11910" w:orient="landscape"/>
      <w:pgMar w:top="1599" w:right="1431" w:bottom="1460" w:left="1790" w:header="0" w:footer="1492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ED44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61A234">
                          <w:pPr>
                            <w:pStyle w:val="6"/>
                            <w:rPr>
                              <w:rFonts w:hint="default" w:ascii="Times New Roman" w:hAnsi="Times New Roman" w:cs="Times New Roman" w:eastAsiaTheme="minorEastAs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0"/>
                              <w:szCs w:val="20"/>
                            </w:rPr>
                            <w:t>第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0"/>
                              <w:szCs w:val="20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61A234">
                    <w:pPr>
                      <w:pStyle w:val="6"/>
                      <w:rPr>
                        <w:rFonts w:hint="default" w:ascii="Times New Roman" w:hAnsi="Times New Roman" w:cs="Times New Roman" w:eastAsiaTheme="minorEastAsia"/>
                        <w:sz w:val="20"/>
                        <w:szCs w:val="20"/>
                      </w:rPr>
                    </w:pPr>
                    <w:r>
                      <w:rPr>
                        <w:rFonts w:hint="default" w:ascii="Times New Roman" w:hAnsi="Times New Roman" w:cs="Times New Roman" w:eastAsiaTheme="minorEastAsia"/>
                        <w:sz w:val="20"/>
                        <w:szCs w:val="20"/>
                      </w:rPr>
                      <w:t>第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0"/>
                        <w:szCs w:val="20"/>
                      </w:rPr>
                      <w:t>3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0"/>
                        <w:szCs w:val="20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kYWRlYzQ1NGFmODc5NTk3MGRhY2ZhNjJkYjFmOWYifQ=="/>
  </w:docVars>
  <w:rsids>
    <w:rsidRoot w:val="6EC97B0C"/>
    <w:rsid w:val="05AF12EB"/>
    <w:rsid w:val="2CF51881"/>
    <w:rsid w:val="318F0210"/>
    <w:rsid w:val="3B8B1A48"/>
    <w:rsid w:val="4C710F14"/>
    <w:rsid w:val="53CA0019"/>
    <w:rsid w:val="5DD021B6"/>
    <w:rsid w:val="6E661519"/>
    <w:rsid w:val="6EC97B0C"/>
    <w:rsid w:val="6F80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left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楷体_GB2312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_GB2312"/>
      <w:b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9">
    <w:name w:val="标题 3 Char"/>
    <w:link w:val="4"/>
    <w:uiPriority w:val="0"/>
    <w:rPr>
      <w:rFonts w:eastAsia="楷体_GB2312"/>
      <w:b/>
    </w:rPr>
  </w:style>
  <w:style w:type="paragraph" w:customStyle="1" w:styleId="10">
    <w:name w:val="正文标题"/>
    <w:basedOn w:val="1"/>
    <w:next w:val="1"/>
    <w:uiPriority w:val="0"/>
    <w:pPr>
      <w:keepNext/>
      <w:keepLines/>
      <w:spacing w:beforeLines="0" w:afterLines="0" w:line="560" w:lineRule="exact"/>
      <w:jc w:val="center"/>
      <w:outlineLvl w:val="0"/>
    </w:pPr>
    <w:rPr>
      <w:rFonts w:hint="eastAsia" w:ascii="Arial" w:hAnsi="Arial" w:eastAsia="方正小标宋_GBK"/>
      <w:sz w:val="44"/>
    </w:rPr>
  </w:style>
  <w:style w:type="character" w:customStyle="1" w:styleId="11">
    <w:name w:val="font131"/>
    <w:basedOn w:val="8"/>
    <w:autoRedefine/>
    <w:qFormat/>
    <w:uiPriority w:val="0"/>
    <w:rPr>
      <w:rFonts w:ascii="黑体" w:hAnsi="宋体" w:eastAsia="黑体" w:cs="黑体"/>
      <w:b/>
      <w:bCs/>
      <w:color w:val="auto"/>
      <w:sz w:val="36"/>
      <w:szCs w:val="36"/>
      <w:u w:val="none"/>
    </w:rPr>
  </w:style>
  <w:style w:type="character" w:customStyle="1" w:styleId="12">
    <w:name w:val="font141"/>
    <w:basedOn w:val="8"/>
    <w:autoRedefine/>
    <w:qFormat/>
    <w:uiPriority w:val="0"/>
    <w:rPr>
      <w:rFonts w:ascii="方正仿宋_GBK" w:hAnsi="方正仿宋_GBK" w:eastAsia="方正仿宋_GBK" w:cs="方正仿宋_GBK"/>
      <w:b/>
      <w:bCs/>
      <w:color w:val="auto"/>
      <w:sz w:val="22"/>
      <w:szCs w:val="22"/>
      <w:u w:val="none"/>
    </w:rPr>
  </w:style>
  <w:style w:type="character" w:customStyle="1" w:styleId="13">
    <w:name w:val="font151"/>
    <w:basedOn w:val="8"/>
    <w:autoRedefine/>
    <w:qFormat/>
    <w:uiPriority w:val="0"/>
    <w:rPr>
      <w:rFonts w:hint="eastAsia" w:ascii="方正仿宋_GBK" w:hAnsi="方正仿宋_GBK" w:eastAsia="方正仿宋_GBK" w:cs="方正仿宋_GBK"/>
      <w:b/>
      <w:bCs/>
      <w:color w:val="auto"/>
      <w:sz w:val="20"/>
      <w:szCs w:val="20"/>
      <w:u w:val="none"/>
    </w:rPr>
  </w:style>
  <w:style w:type="character" w:customStyle="1" w:styleId="14">
    <w:name w:val="font71"/>
    <w:basedOn w:val="8"/>
    <w:autoRedefine/>
    <w:qFormat/>
    <w:uiPriority w:val="0"/>
    <w:rPr>
      <w:rFonts w:hint="eastAsia" w:ascii="方正仿宋_GBK" w:hAnsi="方正仿宋_GBK" w:eastAsia="方正仿宋_GBK" w:cs="方正仿宋_GBK"/>
      <w:color w:val="auto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default" w:ascii="Times New Roman" w:hAnsi="Times New Roman" w:cs="Times New Roman"/>
      <w:color w:val="auto"/>
      <w:sz w:val="20"/>
      <w:szCs w:val="20"/>
      <w:u w:val="none"/>
    </w:rPr>
  </w:style>
  <w:style w:type="character" w:customStyle="1" w:styleId="16">
    <w:name w:val="font16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7">
    <w:name w:val="font111"/>
    <w:basedOn w:val="8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9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9">
    <w:name w:val="font81"/>
    <w:basedOn w:val="8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0">
    <w:name w:val="font10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2024-10-18T06:39:00Z</dcterms:created>
  <dc:creator>Q</dc:creator>
  <cp:lastModifiedBy>Q</cp:lastModifiedBy>
  <dcterms:modified xsi:type="dcterms:W3CDTF">2024-10-18T06:50:15Z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FA9A32DAC6464BA6B2E80C53B2328C94_11</vt:lpwstr>
  </property>
</Properties>
</file>