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14982E9">
      <w:pPr>
        <w:widowControl/>
        <w:jc w:val="center"/>
        <w:rPr>
          <w:rFonts w:ascii="Times New Roman" w:hAnsi="Times New Roman" w:eastAsia="方正小标宋_GBK" w:cs="Times New Roman"/>
          <w:kern w:val="0"/>
          <w:sz w:val="48"/>
          <w:szCs w:val="48"/>
          <w:lang w:bidi="ar"/>
        </w:rPr>
      </w:pPr>
    </w:p>
    <w:p w14:paraId="3D292B56">
      <w:pPr>
        <w:widowControl/>
        <w:jc w:val="both"/>
        <w:rPr>
          <w:rFonts w:ascii="Times New Roman" w:hAnsi="Times New Roman" w:eastAsia="方正小标宋_GBK" w:cs="Times New Roman"/>
          <w:kern w:val="0"/>
          <w:sz w:val="48"/>
          <w:szCs w:val="48"/>
          <w:lang w:bidi="ar"/>
        </w:rPr>
      </w:pPr>
    </w:p>
    <w:p w14:paraId="189C753D">
      <w:pPr>
        <w:widowControl/>
        <w:jc w:val="center"/>
        <w:rPr>
          <w:rFonts w:ascii="Times New Roman" w:hAnsi="Times New Roman" w:eastAsia="方正小标宋_GBK" w:cs="Times New Roman"/>
          <w:kern w:val="0"/>
          <w:sz w:val="48"/>
          <w:szCs w:val="48"/>
          <w:lang w:bidi="ar"/>
        </w:rPr>
      </w:pPr>
    </w:p>
    <w:p w14:paraId="6A1DFFAF">
      <w:pPr>
        <w:keepNext w:val="0"/>
        <w:keepLines w:val="0"/>
        <w:pageBreakBefore w:val="0"/>
        <w:widowControl/>
        <w:kinsoku/>
        <w:wordWrap/>
        <w:overflowPunct/>
        <w:topLinePunct w:val="0"/>
        <w:autoSpaceDE/>
        <w:autoSpaceDN/>
        <w:bidi w:val="0"/>
        <w:adjustRightInd/>
        <w:snapToGrid/>
        <w:jc w:val="center"/>
        <w:textAlignment w:val="auto"/>
        <w:rPr>
          <w:rFonts w:ascii="Times New Roman" w:hAnsi="Times New Roman" w:eastAsia="方正小标宋_GBK" w:cs="Times New Roman"/>
          <w:kern w:val="0"/>
          <w:sz w:val="56"/>
          <w:szCs w:val="56"/>
          <w:lang w:bidi="ar"/>
        </w:rPr>
      </w:pPr>
      <w:r>
        <w:rPr>
          <w:rFonts w:hint="eastAsia" w:ascii="Times New Roman" w:hAnsi="Times New Roman" w:eastAsia="方正小标宋_GBK" w:cs="Times New Roman"/>
          <w:kern w:val="0"/>
          <w:sz w:val="56"/>
          <w:szCs w:val="56"/>
          <w:lang w:bidi="ar"/>
        </w:rPr>
        <w:t>苏州市</w:t>
      </w:r>
      <w:r>
        <w:rPr>
          <w:rFonts w:ascii="Times New Roman" w:hAnsi="Times New Roman" w:eastAsia="方正小标宋_GBK" w:cs="Times New Roman"/>
          <w:kern w:val="0"/>
          <w:sz w:val="56"/>
          <w:szCs w:val="56"/>
          <w:lang w:bidi="ar"/>
        </w:rPr>
        <w:t>吴江区国民经济和社会发展</w:t>
      </w:r>
    </w:p>
    <w:p w14:paraId="7963200E">
      <w:pPr>
        <w:keepNext w:val="0"/>
        <w:keepLines w:val="0"/>
        <w:pageBreakBefore w:val="0"/>
        <w:widowControl/>
        <w:kinsoku/>
        <w:wordWrap/>
        <w:overflowPunct/>
        <w:topLinePunct w:val="0"/>
        <w:autoSpaceDE/>
        <w:autoSpaceDN/>
        <w:bidi w:val="0"/>
        <w:adjustRightInd/>
        <w:snapToGrid/>
        <w:jc w:val="center"/>
        <w:textAlignment w:val="auto"/>
        <w:rPr>
          <w:rFonts w:ascii="Times New Roman" w:hAnsi="Times New Roman" w:eastAsia="方正小标宋_GBK" w:cs="Times New Roman"/>
          <w:kern w:val="0"/>
          <w:sz w:val="56"/>
          <w:szCs w:val="56"/>
          <w:lang w:bidi="ar"/>
        </w:rPr>
      </w:pPr>
      <w:r>
        <w:rPr>
          <w:rFonts w:ascii="Times New Roman" w:hAnsi="Times New Roman" w:eastAsia="方正小标宋_GBK" w:cs="Times New Roman"/>
          <w:kern w:val="0"/>
          <w:sz w:val="56"/>
          <w:szCs w:val="56"/>
          <w:lang w:bidi="ar"/>
        </w:rPr>
        <w:t>第十五个五年规划纲要</w:t>
      </w:r>
    </w:p>
    <w:p w14:paraId="2600E375">
      <w:pPr>
        <w:keepNext w:val="0"/>
        <w:keepLines w:val="0"/>
        <w:pageBreakBefore w:val="0"/>
        <w:widowControl/>
        <w:kinsoku/>
        <w:wordWrap/>
        <w:overflowPunct/>
        <w:topLinePunct w:val="0"/>
        <w:autoSpaceDE/>
        <w:autoSpaceDN/>
        <w:bidi w:val="0"/>
        <w:adjustRightInd/>
        <w:snapToGrid/>
        <w:jc w:val="center"/>
        <w:textAlignment w:val="auto"/>
        <w:rPr>
          <w:rFonts w:ascii="Times New Roman" w:hAnsi="Times New Roman" w:eastAsia="楷体_GB2312" w:cs="Times New Roman"/>
          <w:kern w:val="0"/>
          <w:sz w:val="32"/>
          <w:szCs w:val="32"/>
          <w:lang w:bidi="ar"/>
        </w:rPr>
      </w:pPr>
    </w:p>
    <w:p w14:paraId="0915A1FD">
      <w:pPr>
        <w:keepNext w:val="0"/>
        <w:keepLines w:val="0"/>
        <w:pageBreakBefore w:val="0"/>
        <w:widowControl w:val="0"/>
        <w:kinsoku/>
        <w:wordWrap/>
        <w:overflowPunct/>
        <w:topLinePunct w:val="0"/>
        <w:autoSpaceDE/>
        <w:autoSpaceDN/>
        <w:bidi w:val="0"/>
        <w:adjustRightInd/>
        <w:snapToGrid/>
        <w:jc w:val="center"/>
        <w:textAlignment w:val="auto"/>
        <w:rPr>
          <w:rFonts w:hint="eastAsia" w:ascii="楷体_GB2312" w:hAnsi="楷体_GB2312" w:eastAsia="楷体_GB2312" w:cs="楷体_GB2312"/>
          <w:spacing w:val="-6"/>
          <w:w w:val="90"/>
          <w:kern w:val="0"/>
          <w:sz w:val="32"/>
          <w:szCs w:val="32"/>
          <w:lang w:bidi="ar"/>
        </w:rPr>
      </w:pPr>
      <w:r>
        <w:rPr>
          <w:rFonts w:hint="eastAsia" w:ascii="楷体_GB2312" w:hAnsi="楷体_GB2312" w:eastAsia="楷体_GB2312" w:cs="楷体_GB2312"/>
          <w:spacing w:val="-6"/>
          <w:w w:val="90"/>
          <w:kern w:val="0"/>
          <w:sz w:val="32"/>
          <w:szCs w:val="32"/>
          <w:lang w:bidi="ar"/>
        </w:rPr>
        <w:t>（202</w:t>
      </w:r>
      <w:r>
        <w:rPr>
          <w:rFonts w:hint="eastAsia" w:ascii="楷体_GB2312" w:hAnsi="楷体_GB2312" w:eastAsia="楷体_GB2312" w:cs="楷体_GB2312"/>
          <w:spacing w:val="-6"/>
          <w:w w:val="90"/>
          <w:kern w:val="0"/>
          <w:sz w:val="32"/>
          <w:szCs w:val="32"/>
          <w:lang w:val="en-US" w:eastAsia="zh-CN" w:bidi="ar"/>
        </w:rPr>
        <w:t>6</w:t>
      </w:r>
      <w:r>
        <w:rPr>
          <w:rFonts w:hint="eastAsia" w:ascii="楷体_GB2312" w:hAnsi="楷体_GB2312" w:eastAsia="楷体_GB2312" w:cs="楷体_GB2312"/>
          <w:spacing w:val="-6"/>
          <w:w w:val="90"/>
          <w:kern w:val="0"/>
          <w:sz w:val="32"/>
          <w:szCs w:val="32"/>
          <w:lang w:bidi="ar"/>
        </w:rPr>
        <w:t>年1月</w:t>
      </w:r>
      <w:r>
        <w:rPr>
          <w:rFonts w:hint="eastAsia" w:ascii="楷体_GB2312" w:hAnsi="楷体_GB2312" w:eastAsia="楷体_GB2312" w:cs="楷体_GB2312"/>
          <w:spacing w:val="-6"/>
          <w:w w:val="90"/>
          <w:kern w:val="0"/>
          <w:sz w:val="32"/>
          <w:szCs w:val="32"/>
          <w:lang w:val="en-US" w:eastAsia="zh-CN" w:bidi="ar"/>
        </w:rPr>
        <w:t>1</w:t>
      </w:r>
      <w:r>
        <w:rPr>
          <w:rFonts w:hint="eastAsia" w:ascii="楷体_GB2312" w:hAnsi="楷体_GB2312" w:eastAsia="楷体_GB2312" w:cs="楷体_GB2312"/>
          <w:spacing w:val="-6"/>
          <w:w w:val="90"/>
          <w:kern w:val="0"/>
          <w:sz w:val="32"/>
          <w:szCs w:val="32"/>
          <w:lang w:bidi="ar"/>
        </w:rPr>
        <w:t>6日区第十</w:t>
      </w:r>
      <w:r>
        <w:rPr>
          <w:rFonts w:hint="eastAsia" w:ascii="楷体_GB2312" w:hAnsi="楷体_GB2312" w:eastAsia="楷体_GB2312" w:cs="楷体_GB2312"/>
          <w:spacing w:val="-6"/>
          <w:w w:val="90"/>
          <w:kern w:val="0"/>
          <w:sz w:val="32"/>
          <w:szCs w:val="32"/>
          <w:lang w:val="en-US" w:eastAsia="zh-CN" w:bidi="ar"/>
        </w:rPr>
        <w:t>七</w:t>
      </w:r>
      <w:r>
        <w:rPr>
          <w:rFonts w:hint="eastAsia" w:ascii="楷体_GB2312" w:hAnsi="楷体_GB2312" w:eastAsia="楷体_GB2312" w:cs="楷体_GB2312"/>
          <w:spacing w:val="-6"/>
          <w:w w:val="90"/>
          <w:kern w:val="0"/>
          <w:sz w:val="32"/>
          <w:szCs w:val="32"/>
          <w:lang w:bidi="ar"/>
        </w:rPr>
        <w:t>届人民代表大会第</w:t>
      </w:r>
      <w:r>
        <w:rPr>
          <w:rFonts w:hint="eastAsia" w:ascii="楷体_GB2312" w:hAnsi="楷体_GB2312" w:eastAsia="楷体_GB2312" w:cs="楷体_GB2312"/>
          <w:spacing w:val="-6"/>
          <w:w w:val="90"/>
          <w:kern w:val="0"/>
          <w:sz w:val="32"/>
          <w:szCs w:val="32"/>
          <w:lang w:val="en-US" w:eastAsia="zh-CN" w:bidi="ar"/>
        </w:rPr>
        <w:t>七</w:t>
      </w:r>
      <w:r>
        <w:rPr>
          <w:rFonts w:hint="eastAsia" w:ascii="楷体_GB2312" w:hAnsi="楷体_GB2312" w:eastAsia="楷体_GB2312" w:cs="楷体_GB2312"/>
          <w:spacing w:val="-6"/>
          <w:w w:val="90"/>
          <w:kern w:val="0"/>
          <w:sz w:val="32"/>
          <w:szCs w:val="32"/>
          <w:lang w:bidi="ar"/>
        </w:rPr>
        <w:t>次会议审议通过）</w:t>
      </w:r>
    </w:p>
    <w:p w14:paraId="0DD925B1">
      <w:pPr>
        <w:keepNext w:val="0"/>
        <w:keepLines w:val="0"/>
        <w:pageBreakBefore w:val="0"/>
        <w:widowControl/>
        <w:kinsoku/>
        <w:wordWrap/>
        <w:overflowPunct/>
        <w:topLinePunct w:val="0"/>
        <w:autoSpaceDE/>
        <w:autoSpaceDN/>
        <w:bidi w:val="0"/>
        <w:adjustRightInd/>
        <w:snapToGrid/>
        <w:jc w:val="center"/>
        <w:textAlignment w:val="auto"/>
        <w:rPr>
          <w:rFonts w:ascii="Times New Roman" w:hAnsi="Times New Roman" w:eastAsia="楷体_GB2312" w:cs="Times New Roman"/>
          <w:kern w:val="0"/>
          <w:sz w:val="32"/>
          <w:szCs w:val="32"/>
          <w:lang w:bidi="ar"/>
        </w:rPr>
      </w:pPr>
    </w:p>
    <w:p w14:paraId="2FB9180E">
      <w:pPr>
        <w:keepNext w:val="0"/>
        <w:keepLines w:val="0"/>
        <w:pageBreakBefore w:val="0"/>
        <w:widowControl/>
        <w:kinsoku/>
        <w:wordWrap/>
        <w:overflowPunct/>
        <w:topLinePunct w:val="0"/>
        <w:autoSpaceDE/>
        <w:autoSpaceDN/>
        <w:bidi w:val="0"/>
        <w:adjustRightInd/>
        <w:snapToGrid/>
        <w:jc w:val="center"/>
        <w:textAlignment w:val="auto"/>
        <w:rPr>
          <w:rFonts w:ascii="Times New Roman" w:hAnsi="Times New Roman" w:eastAsia="楷体_GB2312" w:cs="Times New Roman"/>
          <w:kern w:val="0"/>
          <w:sz w:val="32"/>
          <w:szCs w:val="32"/>
          <w:lang w:bidi="ar"/>
        </w:rPr>
      </w:pPr>
    </w:p>
    <w:p w14:paraId="288F2EB0">
      <w:pPr>
        <w:keepNext w:val="0"/>
        <w:keepLines w:val="0"/>
        <w:pageBreakBefore w:val="0"/>
        <w:widowControl/>
        <w:kinsoku/>
        <w:wordWrap/>
        <w:overflowPunct/>
        <w:topLinePunct w:val="0"/>
        <w:autoSpaceDE/>
        <w:autoSpaceDN/>
        <w:bidi w:val="0"/>
        <w:adjustRightInd/>
        <w:snapToGrid/>
        <w:jc w:val="center"/>
        <w:textAlignment w:val="auto"/>
        <w:rPr>
          <w:rFonts w:ascii="Times New Roman" w:hAnsi="Times New Roman" w:eastAsia="楷体_GB2312" w:cs="Times New Roman"/>
          <w:kern w:val="0"/>
          <w:sz w:val="32"/>
          <w:szCs w:val="32"/>
          <w:lang w:bidi="ar"/>
        </w:rPr>
      </w:pPr>
    </w:p>
    <w:p w14:paraId="2829DD8C">
      <w:pPr>
        <w:keepNext w:val="0"/>
        <w:keepLines w:val="0"/>
        <w:pageBreakBefore w:val="0"/>
        <w:widowControl/>
        <w:kinsoku/>
        <w:wordWrap/>
        <w:overflowPunct/>
        <w:topLinePunct w:val="0"/>
        <w:autoSpaceDE/>
        <w:autoSpaceDN/>
        <w:bidi w:val="0"/>
        <w:adjustRightInd/>
        <w:snapToGrid/>
        <w:jc w:val="center"/>
        <w:textAlignment w:val="auto"/>
        <w:rPr>
          <w:rFonts w:ascii="Times New Roman" w:hAnsi="Times New Roman" w:eastAsia="楷体_GB2312" w:cs="Times New Roman"/>
          <w:kern w:val="0"/>
          <w:sz w:val="32"/>
          <w:szCs w:val="32"/>
          <w:lang w:bidi="ar"/>
        </w:rPr>
      </w:pPr>
    </w:p>
    <w:p w14:paraId="4EEA725F">
      <w:pPr>
        <w:keepNext w:val="0"/>
        <w:keepLines w:val="0"/>
        <w:pageBreakBefore w:val="0"/>
        <w:widowControl/>
        <w:kinsoku/>
        <w:wordWrap/>
        <w:overflowPunct/>
        <w:topLinePunct w:val="0"/>
        <w:autoSpaceDE/>
        <w:autoSpaceDN/>
        <w:bidi w:val="0"/>
        <w:adjustRightInd/>
        <w:snapToGrid/>
        <w:jc w:val="center"/>
        <w:textAlignment w:val="auto"/>
        <w:rPr>
          <w:rFonts w:ascii="Times New Roman" w:hAnsi="Times New Roman" w:eastAsia="楷体_GB2312" w:cs="Times New Roman"/>
          <w:kern w:val="0"/>
          <w:sz w:val="32"/>
          <w:szCs w:val="32"/>
          <w:lang w:bidi="ar"/>
        </w:rPr>
      </w:pPr>
    </w:p>
    <w:p w14:paraId="3006D0D7">
      <w:pPr>
        <w:keepNext w:val="0"/>
        <w:keepLines w:val="0"/>
        <w:pageBreakBefore w:val="0"/>
        <w:widowControl/>
        <w:kinsoku/>
        <w:wordWrap/>
        <w:overflowPunct/>
        <w:topLinePunct w:val="0"/>
        <w:autoSpaceDE/>
        <w:autoSpaceDN/>
        <w:bidi w:val="0"/>
        <w:adjustRightInd/>
        <w:snapToGrid/>
        <w:jc w:val="center"/>
        <w:textAlignment w:val="auto"/>
        <w:rPr>
          <w:rFonts w:ascii="Times New Roman" w:hAnsi="Times New Roman" w:eastAsia="楷体_GB2312" w:cs="Times New Roman"/>
          <w:kern w:val="0"/>
          <w:sz w:val="32"/>
          <w:szCs w:val="32"/>
          <w:lang w:bidi="ar"/>
        </w:rPr>
      </w:pPr>
    </w:p>
    <w:p w14:paraId="3A25D273">
      <w:pPr>
        <w:keepNext w:val="0"/>
        <w:keepLines w:val="0"/>
        <w:pageBreakBefore w:val="0"/>
        <w:widowControl/>
        <w:kinsoku/>
        <w:wordWrap/>
        <w:overflowPunct/>
        <w:topLinePunct w:val="0"/>
        <w:autoSpaceDE/>
        <w:autoSpaceDN/>
        <w:bidi w:val="0"/>
        <w:adjustRightInd/>
        <w:snapToGrid/>
        <w:jc w:val="center"/>
        <w:textAlignment w:val="auto"/>
        <w:rPr>
          <w:rFonts w:ascii="Times New Roman" w:hAnsi="Times New Roman" w:eastAsia="楷体_GB2312" w:cs="Times New Roman"/>
          <w:kern w:val="0"/>
          <w:sz w:val="32"/>
          <w:szCs w:val="32"/>
          <w:lang w:bidi="ar"/>
        </w:rPr>
      </w:pPr>
    </w:p>
    <w:p w14:paraId="0F7967C3">
      <w:pPr>
        <w:keepNext w:val="0"/>
        <w:keepLines w:val="0"/>
        <w:pageBreakBefore w:val="0"/>
        <w:widowControl/>
        <w:kinsoku/>
        <w:wordWrap/>
        <w:overflowPunct/>
        <w:topLinePunct w:val="0"/>
        <w:autoSpaceDE/>
        <w:autoSpaceDN/>
        <w:bidi w:val="0"/>
        <w:adjustRightInd/>
        <w:snapToGrid/>
        <w:jc w:val="center"/>
        <w:textAlignment w:val="auto"/>
        <w:rPr>
          <w:rFonts w:ascii="Times New Roman" w:hAnsi="Times New Roman" w:eastAsia="楷体_GB2312" w:cs="Times New Roman"/>
          <w:kern w:val="0"/>
          <w:sz w:val="32"/>
          <w:szCs w:val="32"/>
          <w:lang w:bidi="ar"/>
        </w:rPr>
      </w:pPr>
    </w:p>
    <w:p w14:paraId="7F063BDF">
      <w:pPr>
        <w:keepNext w:val="0"/>
        <w:keepLines w:val="0"/>
        <w:pageBreakBefore w:val="0"/>
        <w:widowControl/>
        <w:kinsoku/>
        <w:wordWrap/>
        <w:overflowPunct/>
        <w:topLinePunct w:val="0"/>
        <w:autoSpaceDE/>
        <w:autoSpaceDN/>
        <w:bidi w:val="0"/>
        <w:adjustRightInd/>
        <w:snapToGrid/>
        <w:jc w:val="center"/>
        <w:textAlignment w:val="auto"/>
        <w:rPr>
          <w:rFonts w:ascii="Times New Roman" w:hAnsi="Times New Roman" w:eastAsia="楷体_GB2312" w:cs="Times New Roman"/>
          <w:kern w:val="0"/>
          <w:sz w:val="32"/>
          <w:szCs w:val="32"/>
          <w:lang w:bidi="ar"/>
        </w:rPr>
      </w:pPr>
    </w:p>
    <w:p w14:paraId="28855273">
      <w:pPr>
        <w:keepNext w:val="0"/>
        <w:keepLines w:val="0"/>
        <w:pageBreakBefore w:val="0"/>
        <w:widowControl/>
        <w:kinsoku/>
        <w:wordWrap/>
        <w:overflowPunct/>
        <w:topLinePunct w:val="0"/>
        <w:autoSpaceDE/>
        <w:autoSpaceDN/>
        <w:bidi w:val="0"/>
        <w:adjustRightInd/>
        <w:snapToGrid/>
        <w:jc w:val="center"/>
        <w:textAlignment w:val="auto"/>
        <w:rPr>
          <w:rFonts w:ascii="Times New Roman" w:hAnsi="Times New Roman" w:eastAsia="楷体_GB2312" w:cs="Times New Roman"/>
          <w:kern w:val="0"/>
          <w:sz w:val="32"/>
          <w:szCs w:val="32"/>
          <w:lang w:bidi="ar"/>
        </w:rPr>
      </w:pPr>
    </w:p>
    <w:p w14:paraId="7AF7AF46">
      <w:pPr>
        <w:keepNext w:val="0"/>
        <w:keepLines w:val="0"/>
        <w:pageBreakBefore w:val="0"/>
        <w:widowControl/>
        <w:kinsoku/>
        <w:wordWrap/>
        <w:overflowPunct/>
        <w:topLinePunct w:val="0"/>
        <w:autoSpaceDE/>
        <w:autoSpaceDN/>
        <w:bidi w:val="0"/>
        <w:adjustRightInd/>
        <w:snapToGrid/>
        <w:jc w:val="center"/>
        <w:textAlignment w:val="auto"/>
        <w:rPr>
          <w:rFonts w:hint="eastAsia" w:ascii="楷体_GB2312" w:hAnsi="楷体_GB2312" w:eastAsia="楷体_GB2312" w:cs="楷体_GB2312"/>
          <w:b w:val="0"/>
          <w:bCs w:val="0"/>
          <w:kern w:val="0"/>
          <w:sz w:val="32"/>
          <w:szCs w:val="32"/>
          <w:lang w:bidi="ar"/>
        </w:rPr>
      </w:pPr>
      <w:r>
        <w:rPr>
          <w:rFonts w:hint="eastAsia" w:ascii="楷体_GB2312" w:hAnsi="楷体_GB2312" w:eastAsia="楷体_GB2312" w:cs="楷体_GB2312"/>
          <w:b w:val="0"/>
          <w:bCs w:val="0"/>
          <w:kern w:val="0"/>
          <w:sz w:val="32"/>
          <w:szCs w:val="32"/>
          <w:lang w:bidi="ar"/>
        </w:rPr>
        <w:t>苏州市吴江区人民政府</w:t>
      </w:r>
    </w:p>
    <w:p w14:paraId="429A3BCC">
      <w:pPr>
        <w:keepNext w:val="0"/>
        <w:keepLines w:val="0"/>
        <w:pageBreakBefore w:val="0"/>
        <w:widowControl/>
        <w:kinsoku/>
        <w:wordWrap/>
        <w:overflowPunct/>
        <w:topLinePunct w:val="0"/>
        <w:autoSpaceDE/>
        <w:autoSpaceDN/>
        <w:bidi w:val="0"/>
        <w:adjustRightInd/>
        <w:snapToGrid/>
        <w:jc w:val="center"/>
        <w:textAlignment w:val="auto"/>
        <w:rPr>
          <w:rFonts w:hint="eastAsia" w:ascii="楷体_GB2312" w:hAnsi="楷体_GB2312" w:eastAsia="楷体_GB2312" w:cs="楷体_GB2312"/>
          <w:b w:val="0"/>
          <w:bCs w:val="0"/>
          <w:kern w:val="0"/>
          <w:sz w:val="32"/>
          <w:szCs w:val="32"/>
          <w:lang w:bidi="ar"/>
        </w:rPr>
      </w:pPr>
      <w:r>
        <w:rPr>
          <w:rFonts w:hint="eastAsia" w:ascii="楷体_GB2312" w:hAnsi="楷体_GB2312" w:eastAsia="楷体_GB2312" w:cs="楷体_GB2312"/>
          <w:b w:val="0"/>
          <w:bCs w:val="0"/>
          <w:kern w:val="0"/>
          <w:sz w:val="32"/>
          <w:szCs w:val="32"/>
          <w:lang w:bidi="ar"/>
        </w:rPr>
        <w:t>202</w:t>
      </w:r>
      <w:r>
        <w:rPr>
          <w:rFonts w:hint="eastAsia" w:ascii="楷体_GB2312" w:hAnsi="楷体_GB2312" w:eastAsia="楷体_GB2312" w:cs="楷体_GB2312"/>
          <w:b w:val="0"/>
          <w:bCs w:val="0"/>
          <w:kern w:val="0"/>
          <w:sz w:val="32"/>
          <w:szCs w:val="32"/>
          <w:lang w:val="en-US" w:eastAsia="zh-CN" w:bidi="ar"/>
        </w:rPr>
        <w:t>6</w:t>
      </w:r>
      <w:r>
        <w:rPr>
          <w:rFonts w:hint="eastAsia" w:ascii="楷体_GB2312" w:hAnsi="楷体_GB2312" w:eastAsia="楷体_GB2312" w:cs="楷体_GB2312"/>
          <w:b w:val="0"/>
          <w:bCs w:val="0"/>
          <w:kern w:val="0"/>
          <w:sz w:val="32"/>
          <w:szCs w:val="32"/>
          <w:lang w:bidi="ar"/>
        </w:rPr>
        <w:t>年</w:t>
      </w:r>
      <w:r>
        <w:rPr>
          <w:rFonts w:hint="eastAsia" w:ascii="楷体_GB2312" w:hAnsi="楷体_GB2312" w:eastAsia="楷体_GB2312" w:cs="楷体_GB2312"/>
          <w:b w:val="0"/>
          <w:bCs w:val="0"/>
          <w:kern w:val="0"/>
          <w:sz w:val="32"/>
          <w:szCs w:val="32"/>
          <w:lang w:val="en-US" w:eastAsia="zh-CN" w:bidi="ar"/>
        </w:rPr>
        <w:t>7</w:t>
      </w:r>
      <w:r>
        <w:rPr>
          <w:rFonts w:hint="eastAsia" w:ascii="楷体_GB2312" w:hAnsi="楷体_GB2312" w:eastAsia="楷体_GB2312" w:cs="楷体_GB2312"/>
          <w:b w:val="0"/>
          <w:bCs w:val="0"/>
          <w:kern w:val="0"/>
          <w:sz w:val="32"/>
          <w:szCs w:val="32"/>
          <w:lang w:bidi="ar"/>
        </w:rPr>
        <w:t>月</w:t>
      </w:r>
    </w:p>
    <w:p w14:paraId="135631C9">
      <w:pPr>
        <w:rPr>
          <w:rFonts w:ascii="Times New Roman" w:hAnsi="Times New Roman" w:eastAsia="楷体_GB2312" w:cs="Times New Roman"/>
          <w:kern w:val="0"/>
          <w:sz w:val="32"/>
          <w:szCs w:val="32"/>
          <w:lang w:bidi="ar"/>
        </w:rPr>
      </w:pPr>
      <w:r>
        <w:rPr>
          <w:rFonts w:ascii="Times New Roman" w:hAnsi="Times New Roman" w:eastAsia="楷体_GB2312" w:cs="Times New Roman"/>
          <w:kern w:val="0"/>
          <w:sz w:val="32"/>
          <w:szCs w:val="32"/>
          <w:lang w:bidi="ar"/>
        </w:rPr>
        <w:br w:type="page"/>
      </w:r>
    </w:p>
    <w:p w14:paraId="11143CDA">
      <w:pPr>
        <w:widowControl/>
        <w:spacing w:line="560" w:lineRule="exact"/>
        <w:jc w:val="center"/>
        <w:rPr>
          <w:rFonts w:ascii="Times New Roman" w:hAnsi="Times New Roman" w:eastAsia="方正小标宋_GBK" w:cs="Times New Roman"/>
          <w:kern w:val="0"/>
          <w:sz w:val="44"/>
          <w:szCs w:val="44"/>
          <w:lang w:bidi="ar"/>
        </w:rPr>
      </w:pPr>
      <w:r>
        <w:rPr>
          <w:rFonts w:hint="eastAsia" w:ascii="Times New Roman" w:hAnsi="Times New Roman" w:eastAsia="方正小标宋_GBK" w:cs="Times New Roman"/>
          <w:kern w:val="0"/>
          <w:sz w:val="44"/>
          <w:szCs w:val="44"/>
          <w:lang w:bidi="ar"/>
        </w:rPr>
        <w:t>序  言</w:t>
      </w:r>
    </w:p>
    <w:p w14:paraId="458D4453">
      <w:pPr>
        <w:spacing w:line="560" w:lineRule="exact"/>
      </w:pPr>
    </w:p>
    <w:p w14:paraId="21270360">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pacing w:val="-4"/>
          <w:sz w:val="32"/>
          <w:szCs w:val="32"/>
        </w:rPr>
      </w:pPr>
      <w:r>
        <w:rPr>
          <w:rFonts w:hint="eastAsia" w:ascii="仿宋_GB2312" w:hAnsi="仿宋_GB2312" w:eastAsia="仿宋_GB2312" w:cs="仿宋_GB2312"/>
          <w:sz w:val="32"/>
          <w:szCs w:val="32"/>
        </w:rPr>
        <w:t>“十五五”时期是我国迈向第二个百年奋斗目标、基本实现社会主义现代化夯实基础、全面发力的关键时期，也是吴江纵深推进长三角一体化发展国家战略、示范引领长三角更高质量一体化发展的重要时期。</w:t>
      </w:r>
      <w:r>
        <w:rPr>
          <w:rFonts w:hint="eastAsia" w:ascii="仿宋_GB2312" w:hAnsi="仿宋_GB2312" w:eastAsia="仿宋_GB2312" w:cs="仿宋_GB2312"/>
          <w:spacing w:val="-4"/>
          <w:sz w:val="32"/>
          <w:szCs w:val="32"/>
        </w:rPr>
        <w:t>根据《长江三角洲区域一体化发展规划纲要》《长三角生态绿色一体化发展示范区总体方案》《江苏省国民经济和社会发展第十五个五年规划纲要》《苏州市国民经济和社会发展第十五个五年规划纲要》《中共苏州市吴江区委关于制定苏州市吴江区国民经济和社会发展第十五个五年规划的建议》</w:t>
      </w:r>
      <w:r>
        <w:rPr>
          <w:rFonts w:hint="eastAsia" w:ascii="仿宋_GB2312" w:hAnsi="仿宋_GB2312" w:eastAsia="仿宋_GB2312" w:cs="仿宋_GB2312"/>
          <w:spacing w:val="-4"/>
          <w:sz w:val="32"/>
          <w:szCs w:val="32"/>
          <w:lang w:eastAsia="zh-CN"/>
        </w:rPr>
        <w:t>，依据</w:t>
      </w:r>
      <w:r>
        <w:rPr>
          <w:rFonts w:hint="eastAsia" w:ascii="仿宋_GB2312" w:hAnsi="仿宋_GB2312" w:eastAsia="仿宋_GB2312" w:cs="仿宋_GB2312"/>
          <w:spacing w:val="-4"/>
          <w:sz w:val="32"/>
          <w:szCs w:val="32"/>
        </w:rPr>
        <w:t>《江苏省发展规划条例》《苏州市发展规划管理办法》，</w:t>
      </w:r>
      <w:r>
        <w:rPr>
          <w:rFonts w:hint="eastAsia" w:ascii="仿宋_GB2312" w:hAnsi="仿宋_GB2312" w:eastAsia="仿宋_GB2312" w:cs="仿宋_GB2312"/>
          <w:spacing w:val="-4"/>
          <w:sz w:val="32"/>
          <w:szCs w:val="32"/>
          <w:lang w:eastAsia="zh-CN"/>
        </w:rPr>
        <w:t>编制</w:t>
      </w:r>
      <w:r>
        <w:rPr>
          <w:rFonts w:hint="eastAsia" w:ascii="仿宋_GB2312" w:hAnsi="仿宋_GB2312" w:eastAsia="仿宋_GB2312" w:cs="仿宋_GB2312"/>
          <w:spacing w:val="-4"/>
          <w:sz w:val="32"/>
          <w:szCs w:val="32"/>
        </w:rPr>
        <w:t>《苏州市吴江区国民经济和社会发展第十五个五年规划纲要》</w:t>
      </w:r>
      <w:r>
        <w:rPr>
          <w:rFonts w:hint="eastAsia" w:ascii="仿宋_GB2312" w:hAnsi="仿宋_GB2312" w:eastAsia="仿宋_GB2312" w:cs="仿宋_GB2312"/>
          <w:spacing w:val="-4"/>
          <w:sz w:val="32"/>
          <w:szCs w:val="32"/>
          <w:lang w:eastAsia="zh-CN"/>
        </w:rPr>
        <w:t>，系统阐明“十五五”时期经济社会发展的总体思路、具体目标、主要任务和重大举措，</w:t>
      </w:r>
      <w:r>
        <w:rPr>
          <w:rFonts w:hint="eastAsia" w:ascii="仿宋_GB2312" w:hAnsi="仿宋_GB2312" w:eastAsia="仿宋_GB2312" w:cs="仿宋_GB2312"/>
          <w:spacing w:val="-4"/>
          <w:sz w:val="32"/>
          <w:szCs w:val="32"/>
        </w:rPr>
        <w:t>是指导吴江未来五年发展的蓝图，是全区人民共同奋斗的行动纲领，也是政府履行职责和安排年度工作的重要依据。</w:t>
      </w:r>
    </w:p>
    <w:p w14:paraId="74BDDBE0">
      <w:pPr>
        <w:keepNext w:val="0"/>
        <w:keepLines w:val="0"/>
        <w:pageBreakBefore w:val="0"/>
        <w:widowControl w:val="0"/>
        <w:kinsoku/>
        <w:wordWrap/>
        <w:topLinePunct w:val="0"/>
        <w:autoSpaceDE/>
        <w:autoSpaceDN/>
        <w:bidi w:val="0"/>
        <w:adjustRightInd/>
        <w:snapToGrid/>
        <w:spacing w:line="560" w:lineRule="exact"/>
        <w:textAlignment w:val="auto"/>
      </w:pPr>
    </w:p>
    <w:p w14:paraId="27014B45">
      <w:pPr>
        <w:tabs>
          <w:tab w:val="center" w:pos="4153"/>
        </w:tabs>
        <w:spacing w:line="560" w:lineRule="exact"/>
        <w:jc w:val="left"/>
        <w:sectPr>
          <w:pgSz w:w="11906" w:h="16838"/>
          <w:pgMar w:top="1928" w:right="1531" w:bottom="1701" w:left="1531" w:header="0" w:footer="1417" w:gutter="0"/>
          <w:pgNumType w:fmt="decimal"/>
          <w:cols w:space="0" w:num="1"/>
          <w:rtlGutter w:val="0"/>
          <w:docGrid w:type="lines" w:linePitch="312" w:charSpace="0"/>
        </w:sectPr>
      </w:pPr>
    </w:p>
    <w:p w14:paraId="263676FC">
      <w:pPr>
        <w:spacing w:before="157" w:beforeLines="50" w:after="157" w:afterLines="50" w:line="400" w:lineRule="exact"/>
        <w:jc w:val="center"/>
        <w:rPr>
          <w:rFonts w:hint="eastAsia" w:ascii="方正小标宋_GBK" w:hAnsi="方正小标宋_GBK" w:eastAsia="方正小标宋_GBK" w:cs="方正小标宋_GBK"/>
          <w:sz w:val="40"/>
          <w:szCs w:val="40"/>
        </w:rPr>
      </w:pPr>
      <w:r>
        <w:rPr>
          <w:rFonts w:hint="eastAsia" w:ascii="方正小标宋_GBK" w:hAnsi="方正小标宋_GBK" w:eastAsia="方正小标宋_GBK" w:cs="方正小标宋_GBK"/>
          <w:sz w:val="40"/>
          <w:szCs w:val="40"/>
        </w:rPr>
        <w:t>目  录</w:t>
      </w:r>
    </w:p>
    <w:p w14:paraId="031DF7FE">
      <w:pPr>
        <w:pStyle w:val="17"/>
        <w:keepNext w:val="0"/>
        <w:keepLines w:val="0"/>
        <w:pageBreakBefore w:val="0"/>
        <w:widowControl w:val="0"/>
        <w:tabs>
          <w:tab w:val="right" w:leader="dot" w:pos="8845"/>
        </w:tabs>
        <w:kinsoku/>
        <w:wordWrap/>
        <w:overflowPunct/>
        <w:topLinePunct w:val="0"/>
        <w:autoSpaceDE/>
        <w:autoSpaceDN/>
        <w:bidi w:val="0"/>
        <w:adjustRightInd/>
        <w:snapToGrid/>
        <w:spacing w:line="500" w:lineRule="exact"/>
        <w:textAlignment w:val="auto"/>
        <w:rPr>
          <w:rFonts w:hint="eastAsia" w:ascii="黑体" w:hAnsi="黑体" w:eastAsia="黑体" w:cs="黑体"/>
          <w:kern w:val="21"/>
          <w:sz w:val="28"/>
          <w:szCs w:val="28"/>
          <w:lang w:eastAsia="zh-CN"/>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TOC \o "1-3" \h \u </w:instrText>
      </w:r>
      <w:r>
        <w:rPr>
          <w:rFonts w:hint="eastAsia" w:ascii="宋体" w:hAnsi="宋体" w:eastAsia="宋体" w:cs="宋体"/>
          <w:sz w:val="28"/>
          <w:szCs w:val="28"/>
        </w:rPr>
        <w:fldChar w:fldCharType="separate"/>
      </w:r>
      <w:r>
        <w:rPr>
          <w:rFonts w:hint="eastAsia" w:ascii="黑体" w:hAnsi="黑体" w:eastAsia="黑体" w:cs="黑体"/>
          <w:sz w:val="28"/>
          <w:szCs w:val="28"/>
        </w:rPr>
        <w:fldChar w:fldCharType="begin"/>
      </w:r>
      <w:r>
        <w:rPr>
          <w:rFonts w:hint="eastAsia" w:ascii="黑体" w:hAnsi="黑体" w:eastAsia="黑体" w:cs="黑体"/>
          <w:sz w:val="28"/>
          <w:szCs w:val="28"/>
        </w:rPr>
        <w:instrText xml:space="preserve"> HYPERLINK \l _Toc18721 </w:instrText>
      </w:r>
      <w:r>
        <w:rPr>
          <w:rFonts w:hint="eastAsia" w:ascii="黑体" w:hAnsi="黑体" w:eastAsia="黑体" w:cs="黑体"/>
          <w:sz w:val="28"/>
          <w:szCs w:val="28"/>
        </w:rPr>
        <w:fldChar w:fldCharType="separate"/>
      </w:r>
      <w:r>
        <w:rPr>
          <w:rFonts w:hint="eastAsia" w:ascii="黑体" w:hAnsi="黑体" w:eastAsia="黑体" w:cs="黑体"/>
          <w:kern w:val="21"/>
          <w:sz w:val="28"/>
          <w:szCs w:val="28"/>
        </w:rPr>
        <w:t>第一章  “十</w:t>
      </w:r>
      <w:r>
        <w:rPr>
          <w:rFonts w:hint="eastAsia" w:ascii="黑体" w:hAnsi="黑体" w:eastAsia="黑体" w:cs="黑体"/>
          <w:kern w:val="21"/>
          <w:sz w:val="28"/>
          <w:szCs w:val="28"/>
          <w:lang w:eastAsia="zh-CN"/>
        </w:rPr>
        <w:t>五</w:t>
      </w:r>
      <w:r>
        <w:rPr>
          <w:rFonts w:hint="eastAsia" w:ascii="黑体" w:hAnsi="黑体" w:eastAsia="黑体" w:cs="黑体"/>
          <w:kern w:val="21"/>
          <w:sz w:val="28"/>
          <w:szCs w:val="28"/>
        </w:rPr>
        <w:t>五”时期</w:t>
      </w:r>
      <w:r>
        <w:rPr>
          <w:rFonts w:hint="eastAsia" w:ascii="黑体" w:hAnsi="黑体" w:eastAsia="黑体" w:cs="黑体"/>
          <w:kern w:val="21"/>
          <w:sz w:val="28"/>
          <w:szCs w:val="28"/>
          <w:lang w:eastAsia="zh-CN"/>
        </w:rPr>
        <w:t>是推进</w:t>
      </w:r>
      <w:r>
        <w:rPr>
          <w:rFonts w:hint="eastAsia" w:ascii="黑体" w:hAnsi="黑体" w:eastAsia="黑体" w:cs="黑体"/>
          <w:kern w:val="21"/>
          <w:sz w:val="28"/>
          <w:szCs w:val="28"/>
        </w:rPr>
        <w:t>中国式现代化吴江新实践</w:t>
      </w:r>
      <w:r>
        <w:rPr>
          <w:rFonts w:hint="eastAsia" w:ascii="黑体" w:hAnsi="黑体" w:eastAsia="黑体" w:cs="黑体"/>
          <w:kern w:val="21"/>
          <w:sz w:val="28"/>
          <w:szCs w:val="28"/>
          <w:lang w:eastAsia="zh-CN"/>
        </w:rPr>
        <w:t>取得</w:t>
      </w:r>
      <w:r>
        <w:rPr>
          <w:rFonts w:hint="eastAsia" w:ascii="黑体" w:hAnsi="黑体" w:eastAsia="黑体" w:cs="黑体"/>
          <w:sz w:val="28"/>
          <w:szCs w:val="28"/>
        </w:rPr>
        <w:tab/>
      </w:r>
      <w:r>
        <w:rPr>
          <w:rFonts w:hint="eastAsia" w:ascii="黑体" w:hAnsi="黑体" w:eastAsia="黑体" w:cs="黑体"/>
          <w:sz w:val="28"/>
          <w:szCs w:val="28"/>
        </w:rPr>
        <w:fldChar w:fldCharType="end"/>
      </w:r>
      <w:r>
        <w:rPr>
          <w:rFonts w:hint="eastAsia" w:ascii="黑体" w:hAnsi="黑体" w:eastAsia="黑体" w:cs="黑体"/>
          <w:sz w:val="28"/>
          <w:szCs w:val="28"/>
        </w:rPr>
        <w:fldChar w:fldCharType="begin"/>
      </w:r>
      <w:r>
        <w:rPr>
          <w:rFonts w:hint="eastAsia" w:ascii="黑体" w:hAnsi="黑体" w:eastAsia="黑体" w:cs="黑体"/>
          <w:sz w:val="28"/>
          <w:szCs w:val="28"/>
        </w:rPr>
        <w:instrText xml:space="preserve"> HYPERLINK \l _Toc4975 </w:instrText>
      </w:r>
      <w:r>
        <w:rPr>
          <w:rFonts w:hint="eastAsia" w:ascii="黑体" w:hAnsi="黑体" w:eastAsia="黑体" w:cs="黑体"/>
          <w:sz w:val="28"/>
          <w:szCs w:val="28"/>
        </w:rPr>
        <w:fldChar w:fldCharType="separate"/>
      </w:r>
      <w:r>
        <w:rPr>
          <w:rFonts w:hint="eastAsia" w:ascii="黑体" w:hAnsi="黑体" w:eastAsia="黑体" w:cs="黑体"/>
          <w:kern w:val="21"/>
          <w:sz w:val="28"/>
          <w:szCs w:val="28"/>
          <w:lang w:eastAsia="zh-CN"/>
        </w:rPr>
        <w:t>决定性进展</w:t>
      </w:r>
    </w:p>
    <w:p w14:paraId="44D1026B">
      <w:pPr>
        <w:pStyle w:val="17"/>
        <w:keepNext w:val="0"/>
        <w:keepLines w:val="0"/>
        <w:pageBreakBefore w:val="0"/>
        <w:widowControl w:val="0"/>
        <w:tabs>
          <w:tab w:val="right" w:leader="dot" w:pos="8845"/>
        </w:tabs>
        <w:kinsoku/>
        <w:wordWrap/>
        <w:overflowPunct/>
        <w:topLinePunct w:val="0"/>
        <w:autoSpaceDE/>
        <w:autoSpaceDN/>
        <w:bidi w:val="0"/>
        <w:adjustRightInd/>
        <w:snapToGrid/>
        <w:spacing w:line="500" w:lineRule="exact"/>
        <w:textAlignment w:val="auto"/>
        <w:rPr>
          <w:rFonts w:hint="eastAsia" w:ascii="黑体" w:hAnsi="黑体" w:eastAsia="黑体" w:cs="黑体"/>
          <w:sz w:val="28"/>
          <w:szCs w:val="28"/>
        </w:rPr>
      </w:pPr>
      <w:r>
        <w:rPr>
          <w:rFonts w:hint="eastAsia" w:ascii="黑体" w:hAnsi="黑体" w:eastAsia="黑体" w:cs="黑体"/>
          <w:kern w:val="21"/>
          <w:sz w:val="28"/>
          <w:szCs w:val="28"/>
          <w:lang w:eastAsia="zh-CN"/>
        </w:rPr>
        <w:t>的关键时期</w:t>
      </w:r>
      <w:r>
        <w:rPr>
          <w:rFonts w:hint="eastAsia" w:ascii="黑体" w:hAnsi="黑体" w:eastAsia="黑体" w:cs="黑体"/>
          <w:sz w:val="28"/>
          <w:szCs w:val="28"/>
        </w:rPr>
        <w:tab/>
      </w:r>
      <w:r>
        <w:rPr>
          <w:rFonts w:hint="eastAsia" w:ascii="黑体" w:hAnsi="黑体" w:eastAsia="黑体" w:cs="黑体"/>
          <w:sz w:val="28"/>
          <w:szCs w:val="28"/>
        </w:rPr>
        <w:fldChar w:fldCharType="begin"/>
      </w:r>
      <w:r>
        <w:rPr>
          <w:rFonts w:hint="eastAsia" w:ascii="黑体" w:hAnsi="黑体" w:eastAsia="黑体" w:cs="黑体"/>
          <w:sz w:val="28"/>
          <w:szCs w:val="28"/>
        </w:rPr>
        <w:instrText xml:space="preserve"> PAGEREF _Toc4975 \h </w:instrText>
      </w:r>
      <w:r>
        <w:rPr>
          <w:rFonts w:hint="eastAsia" w:ascii="黑体" w:hAnsi="黑体" w:eastAsia="黑体" w:cs="黑体"/>
          <w:sz w:val="28"/>
          <w:szCs w:val="28"/>
        </w:rPr>
        <w:fldChar w:fldCharType="separate"/>
      </w:r>
      <w:r>
        <w:rPr>
          <w:rFonts w:hint="eastAsia" w:ascii="黑体" w:hAnsi="黑体" w:eastAsia="黑体" w:cs="黑体"/>
          <w:sz w:val="28"/>
          <w:szCs w:val="28"/>
        </w:rPr>
        <w:t>1</w:t>
      </w:r>
      <w:r>
        <w:rPr>
          <w:rFonts w:hint="eastAsia" w:ascii="黑体" w:hAnsi="黑体" w:eastAsia="黑体" w:cs="黑体"/>
          <w:sz w:val="28"/>
          <w:szCs w:val="28"/>
        </w:rPr>
        <w:fldChar w:fldCharType="end"/>
      </w:r>
      <w:r>
        <w:rPr>
          <w:rFonts w:hint="eastAsia" w:ascii="黑体" w:hAnsi="黑体" w:eastAsia="黑体" w:cs="黑体"/>
          <w:sz w:val="28"/>
          <w:szCs w:val="28"/>
        </w:rPr>
        <w:fldChar w:fldCharType="end"/>
      </w:r>
    </w:p>
    <w:p w14:paraId="5E957568">
      <w:pPr>
        <w:pStyle w:val="19"/>
        <w:keepNext w:val="0"/>
        <w:keepLines w:val="0"/>
        <w:pageBreakBefore w:val="0"/>
        <w:widowControl w:val="0"/>
        <w:tabs>
          <w:tab w:val="right" w:leader="dot" w:pos="8845"/>
        </w:tabs>
        <w:kinsoku/>
        <w:wordWrap/>
        <w:overflowPunct/>
        <w:topLinePunct w:val="0"/>
        <w:autoSpaceDE/>
        <w:autoSpaceDN/>
        <w:bidi w:val="0"/>
        <w:adjustRightInd/>
        <w:snapToGrid/>
        <w:spacing w:line="500" w:lineRule="exact"/>
        <w:textAlignment w:val="auto"/>
        <w:rPr>
          <w:rFonts w:hint="eastAsia" w:ascii="楷体_GB2312" w:hAnsi="楷体_GB2312" w:eastAsia="楷体_GB2312" w:cs="楷体_GB2312"/>
          <w:sz w:val="28"/>
          <w:szCs w:val="28"/>
        </w:rPr>
      </w:pPr>
      <w:r>
        <w:rPr>
          <w:rFonts w:hint="eastAsia" w:ascii="楷体_GB2312" w:hAnsi="楷体_GB2312" w:eastAsia="楷体_GB2312" w:cs="楷体_GB2312"/>
          <w:sz w:val="28"/>
          <w:szCs w:val="28"/>
        </w:rPr>
        <w:fldChar w:fldCharType="begin"/>
      </w:r>
      <w:r>
        <w:rPr>
          <w:rFonts w:hint="eastAsia" w:ascii="楷体_GB2312" w:hAnsi="楷体_GB2312" w:eastAsia="楷体_GB2312" w:cs="楷体_GB2312"/>
          <w:sz w:val="28"/>
          <w:szCs w:val="28"/>
        </w:rPr>
        <w:instrText xml:space="preserve"> HYPERLINK \l _Toc11171 </w:instrText>
      </w:r>
      <w:r>
        <w:rPr>
          <w:rFonts w:hint="eastAsia" w:ascii="楷体_GB2312" w:hAnsi="楷体_GB2312" w:eastAsia="楷体_GB2312" w:cs="楷体_GB2312"/>
          <w:sz w:val="28"/>
          <w:szCs w:val="28"/>
        </w:rPr>
        <w:fldChar w:fldCharType="separate"/>
      </w:r>
      <w:r>
        <w:rPr>
          <w:rFonts w:ascii="楷体_GB2312" w:hAnsi="楷体_GB2312" w:eastAsia="楷体_GB2312" w:cs="楷体_GB2312"/>
          <w:kern w:val="21"/>
          <w:sz w:val="28"/>
          <w:szCs w:val="28"/>
        </w:rPr>
        <w:t xml:space="preserve">第一节 </w:t>
      </w:r>
      <w:r>
        <w:rPr>
          <w:rFonts w:hint="eastAsia" w:ascii="楷体_GB2312" w:hAnsi="楷体_GB2312" w:eastAsia="楷体_GB2312" w:cs="楷体_GB2312"/>
          <w:kern w:val="21"/>
          <w:sz w:val="28"/>
          <w:szCs w:val="28"/>
          <w:lang w:val="en-US" w:eastAsia="zh-CN"/>
        </w:rPr>
        <w:t xml:space="preserve"> </w:t>
      </w:r>
      <w:r>
        <w:rPr>
          <w:rFonts w:hint="eastAsia" w:ascii="楷体_GB2312" w:hAnsi="楷体_GB2312" w:eastAsia="楷体_GB2312" w:cs="楷体_GB2312"/>
          <w:kern w:val="21"/>
          <w:sz w:val="28"/>
          <w:szCs w:val="28"/>
          <w:lang w:eastAsia="zh-CN"/>
        </w:rPr>
        <w:t>发展基础</w:t>
      </w:r>
      <w:r>
        <w:rPr>
          <w:rFonts w:hint="eastAsia" w:ascii="楷体_GB2312" w:hAnsi="楷体_GB2312" w:eastAsia="楷体_GB2312" w:cs="楷体_GB2312"/>
          <w:sz w:val="28"/>
          <w:szCs w:val="28"/>
        </w:rPr>
        <w:tab/>
      </w:r>
      <w:r>
        <w:rPr>
          <w:rFonts w:hint="eastAsia" w:ascii="楷体_GB2312" w:hAnsi="楷体_GB2312" w:eastAsia="楷体_GB2312" w:cs="楷体_GB2312"/>
          <w:sz w:val="28"/>
          <w:szCs w:val="28"/>
        </w:rPr>
        <w:fldChar w:fldCharType="begin"/>
      </w:r>
      <w:r>
        <w:rPr>
          <w:rFonts w:hint="eastAsia" w:ascii="楷体_GB2312" w:hAnsi="楷体_GB2312" w:eastAsia="楷体_GB2312" w:cs="楷体_GB2312"/>
          <w:sz w:val="28"/>
          <w:szCs w:val="28"/>
        </w:rPr>
        <w:instrText xml:space="preserve"> PAGEREF _Toc11171 \h </w:instrText>
      </w:r>
      <w:r>
        <w:rPr>
          <w:rFonts w:hint="eastAsia" w:ascii="楷体_GB2312" w:hAnsi="楷体_GB2312" w:eastAsia="楷体_GB2312" w:cs="楷体_GB2312"/>
          <w:sz w:val="28"/>
          <w:szCs w:val="28"/>
        </w:rPr>
        <w:fldChar w:fldCharType="separate"/>
      </w:r>
      <w:r>
        <w:rPr>
          <w:rFonts w:hint="eastAsia" w:ascii="楷体_GB2312" w:hAnsi="楷体_GB2312" w:eastAsia="楷体_GB2312" w:cs="楷体_GB2312"/>
          <w:sz w:val="28"/>
          <w:szCs w:val="28"/>
        </w:rPr>
        <w:t>1</w:t>
      </w:r>
      <w:r>
        <w:rPr>
          <w:rFonts w:hint="eastAsia" w:ascii="楷体_GB2312" w:hAnsi="楷体_GB2312" w:eastAsia="楷体_GB2312" w:cs="楷体_GB2312"/>
          <w:sz w:val="28"/>
          <w:szCs w:val="28"/>
        </w:rPr>
        <w:fldChar w:fldCharType="end"/>
      </w:r>
      <w:r>
        <w:rPr>
          <w:rFonts w:hint="eastAsia" w:ascii="楷体_GB2312" w:hAnsi="楷体_GB2312" w:eastAsia="楷体_GB2312" w:cs="楷体_GB2312"/>
          <w:sz w:val="28"/>
          <w:szCs w:val="28"/>
        </w:rPr>
        <w:fldChar w:fldCharType="end"/>
      </w:r>
    </w:p>
    <w:p w14:paraId="3197A048">
      <w:pPr>
        <w:pStyle w:val="19"/>
        <w:keepNext w:val="0"/>
        <w:keepLines w:val="0"/>
        <w:pageBreakBefore w:val="0"/>
        <w:widowControl w:val="0"/>
        <w:tabs>
          <w:tab w:val="right" w:leader="dot" w:pos="8845"/>
        </w:tabs>
        <w:kinsoku/>
        <w:wordWrap/>
        <w:overflowPunct/>
        <w:topLinePunct w:val="0"/>
        <w:autoSpaceDE/>
        <w:autoSpaceDN/>
        <w:bidi w:val="0"/>
        <w:adjustRightInd/>
        <w:snapToGrid/>
        <w:spacing w:line="500" w:lineRule="exact"/>
        <w:textAlignment w:val="auto"/>
        <w:rPr>
          <w:sz w:val="28"/>
          <w:szCs w:val="28"/>
        </w:rPr>
      </w:pPr>
      <w:r>
        <w:rPr>
          <w:rFonts w:hint="eastAsia" w:ascii="楷体_GB2312" w:hAnsi="楷体_GB2312" w:eastAsia="楷体_GB2312" w:cs="楷体_GB2312"/>
          <w:sz w:val="28"/>
          <w:szCs w:val="28"/>
        </w:rPr>
        <w:fldChar w:fldCharType="begin"/>
      </w:r>
      <w:r>
        <w:rPr>
          <w:rFonts w:hint="eastAsia" w:ascii="楷体_GB2312" w:hAnsi="楷体_GB2312" w:eastAsia="楷体_GB2312" w:cs="楷体_GB2312"/>
          <w:sz w:val="28"/>
          <w:szCs w:val="28"/>
        </w:rPr>
        <w:instrText xml:space="preserve"> HYPERLINK \l _Toc6745 </w:instrText>
      </w:r>
      <w:r>
        <w:rPr>
          <w:rFonts w:hint="eastAsia" w:ascii="楷体_GB2312" w:hAnsi="楷体_GB2312" w:eastAsia="楷体_GB2312" w:cs="楷体_GB2312"/>
          <w:sz w:val="28"/>
          <w:szCs w:val="28"/>
        </w:rPr>
        <w:fldChar w:fldCharType="separate"/>
      </w:r>
      <w:r>
        <w:rPr>
          <w:rFonts w:ascii="楷体_GB2312" w:hAnsi="楷体_GB2312" w:eastAsia="楷体_GB2312" w:cs="楷体_GB2312"/>
          <w:kern w:val="21"/>
          <w:sz w:val="28"/>
          <w:szCs w:val="28"/>
        </w:rPr>
        <w:t xml:space="preserve">第二节 </w:t>
      </w:r>
      <w:r>
        <w:rPr>
          <w:rFonts w:hint="eastAsia" w:ascii="楷体_GB2312" w:hAnsi="楷体_GB2312" w:eastAsia="楷体_GB2312" w:cs="楷体_GB2312"/>
          <w:kern w:val="21"/>
          <w:sz w:val="28"/>
          <w:szCs w:val="28"/>
          <w:lang w:val="en-US" w:eastAsia="zh-CN"/>
        </w:rPr>
        <w:t xml:space="preserve"> </w:t>
      </w:r>
      <w:r>
        <w:rPr>
          <w:rFonts w:hint="eastAsia" w:ascii="楷体_GB2312" w:hAnsi="楷体_GB2312" w:eastAsia="楷体_GB2312" w:cs="楷体_GB2312"/>
          <w:kern w:val="21"/>
          <w:sz w:val="28"/>
          <w:szCs w:val="28"/>
          <w:lang w:eastAsia="zh-CN"/>
        </w:rPr>
        <w:t>形势研判</w:t>
      </w:r>
      <w:r>
        <w:rPr>
          <w:rFonts w:hint="eastAsia" w:ascii="楷体_GB2312" w:hAnsi="楷体_GB2312" w:eastAsia="楷体_GB2312" w:cs="楷体_GB2312"/>
          <w:sz w:val="28"/>
          <w:szCs w:val="28"/>
        </w:rPr>
        <w:tab/>
      </w:r>
      <w:r>
        <w:rPr>
          <w:rFonts w:hint="eastAsia" w:ascii="楷体_GB2312" w:hAnsi="楷体_GB2312" w:eastAsia="楷体_GB2312" w:cs="楷体_GB2312"/>
          <w:sz w:val="28"/>
          <w:szCs w:val="28"/>
        </w:rPr>
        <w:fldChar w:fldCharType="begin"/>
      </w:r>
      <w:r>
        <w:rPr>
          <w:rFonts w:hint="eastAsia" w:ascii="楷体_GB2312" w:hAnsi="楷体_GB2312" w:eastAsia="楷体_GB2312" w:cs="楷体_GB2312"/>
          <w:sz w:val="28"/>
          <w:szCs w:val="28"/>
        </w:rPr>
        <w:instrText xml:space="preserve"> PAGEREF _Toc6745 \h </w:instrText>
      </w:r>
      <w:r>
        <w:rPr>
          <w:rFonts w:hint="eastAsia" w:ascii="楷体_GB2312" w:hAnsi="楷体_GB2312" w:eastAsia="楷体_GB2312" w:cs="楷体_GB2312"/>
          <w:sz w:val="28"/>
          <w:szCs w:val="28"/>
        </w:rPr>
        <w:fldChar w:fldCharType="separate"/>
      </w:r>
      <w:r>
        <w:rPr>
          <w:rFonts w:hint="eastAsia" w:ascii="楷体_GB2312" w:hAnsi="楷体_GB2312" w:eastAsia="楷体_GB2312" w:cs="楷体_GB2312"/>
          <w:sz w:val="28"/>
          <w:szCs w:val="28"/>
        </w:rPr>
        <w:t>4</w:t>
      </w:r>
      <w:r>
        <w:rPr>
          <w:rFonts w:hint="eastAsia" w:ascii="楷体_GB2312" w:hAnsi="楷体_GB2312" w:eastAsia="楷体_GB2312" w:cs="楷体_GB2312"/>
          <w:sz w:val="28"/>
          <w:szCs w:val="28"/>
        </w:rPr>
        <w:fldChar w:fldCharType="end"/>
      </w:r>
      <w:r>
        <w:rPr>
          <w:rFonts w:hint="eastAsia" w:ascii="楷体_GB2312" w:hAnsi="楷体_GB2312" w:eastAsia="楷体_GB2312" w:cs="楷体_GB2312"/>
          <w:sz w:val="28"/>
          <w:szCs w:val="28"/>
        </w:rPr>
        <w:fldChar w:fldCharType="end"/>
      </w:r>
    </w:p>
    <w:p w14:paraId="3EC7F78D">
      <w:pPr>
        <w:pStyle w:val="17"/>
        <w:keepNext w:val="0"/>
        <w:keepLines w:val="0"/>
        <w:pageBreakBefore w:val="0"/>
        <w:widowControl w:val="0"/>
        <w:tabs>
          <w:tab w:val="right" w:leader="dot" w:pos="8845"/>
        </w:tabs>
        <w:kinsoku/>
        <w:wordWrap/>
        <w:overflowPunct/>
        <w:topLinePunct w:val="0"/>
        <w:autoSpaceDE/>
        <w:autoSpaceDN/>
        <w:bidi w:val="0"/>
        <w:adjustRightInd/>
        <w:snapToGrid/>
        <w:spacing w:line="500" w:lineRule="exact"/>
        <w:textAlignment w:val="auto"/>
        <w:rPr>
          <w:rFonts w:hint="eastAsia" w:ascii="黑体" w:hAnsi="黑体" w:eastAsia="黑体" w:cs="黑体"/>
          <w:sz w:val="28"/>
          <w:szCs w:val="28"/>
        </w:rPr>
      </w:pPr>
      <w:r>
        <w:rPr>
          <w:rFonts w:hint="eastAsia" w:ascii="黑体" w:hAnsi="黑体" w:eastAsia="黑体" w:cs="黑体"/>
          <w:sz w:val="28"/>
          <w:szCs w:val="28"/>
        </w:rPr>
        <w:fldChar w:fldCharType="begin"/>
      </w:r>
      <w:r>
        <w:rPr>
          <w:rFonts w:hint="eastAsia" w:ascii="黑体" w:hAnsi="黑体" w:eastAsia="黑体" w:cs="黑体"/>
          <w:sz w:val="28"/>
          <w:szCs w:val="28"/>
        </w:rPr>
        <w:instrText xml:space="preserve"> HYPERLINK \l _Toc4657 </w:instrText>
      </w:r>
      <w:r>
        <w:rPr>
          <w:rFonts w:hint="eastAsia" w:ascii="黑体" w:hAnsi="黑体" w:eastAsia="黑体" w:cs="黑体"/>
          <w:sz w:val="28"/>
          <w:szCs w:val="28"/>
        </w:rPr>
        <w:fldChar w:fldCharType="separate"/>
      </w:r>
      <w:r>
        <w:rPr>
          <w:rFonts w:hint="eastAsia" w:ascii="黑体" w:hAnsi="黑体" w:eastAsia="黑体" w:cs="黑体"/>
          <w:kern w:val="21"/>
          <w:sz w:val="28"/>
          <w:szCs w:val="28"/>
        </w:rPr>
        <w:t>第二章  “十五五”时期</w:t>
      </w:r>
      <w:r>
        <w:rPr>
          <w:rFonts w:hint="eastAsia" w:ascii="黑体" w:hAnsi="黑体" w:eastAsia="黑体" w:cs="黑体"/>
          <w:kern w:val="21"/>
          <w:sz w:val="28"/>
          <w:szCs w:val="28"/>
          <w:lang w:eastAsia="zh-CN"/>
        </w:rPr>
        <w:t>经济社会发展的指导方针和主要目标</w:t>
      </w:r>
      <w:r>
        <w:rPr>
          <w:rFonts w:hint="eastAsia" w:ascii="黑体" w:hAnsi="黑体" w:eastAsia="黑体" w:cs="黑体"/>
          <w:sz w:val="28"/>
          <w:szCs w:val="28"/>
        </w:rPr>
        <w:tab/>
      </w:r>
      <w:r>
        <w:rPr>
          <w:rFonts w:hint="eastAsia" w:ascii="黑体" w:hAnsi="黑体" w:eastAsia="黑体" w:cs="黑体"/>
          <w:sz w:val="28"/>
          <w:szCs w:val="28"/>
        </w:rPr>
        <w:fldChar w:fldCharType="begin"/>
      </w:r>
      <w:r>
        <w:rPr>
          <w:rFonts w:hint="eastAsia" w:ascii="黑体" w:hAnsi="黑体" w:eastAsia="黑体" w:cs="黑体"/>
          <w:sz w:val="28"/>
          <w:szCs w:val="28"/>
        </w:rPr>
        <w:instrText xml:space="preserve"> PAGEREF _Toc4657 \h </w:instrText>
      </w:r>
      <w:r>
        <w:rPr>
          <w:rFonts w:hint="eastAsia" w:ascii="黑体" w:hAnsi="黑体" w:eastAsia="黑体" w:cs="黑体"/>
          <w:sz w:val="28"/>
          <w:szCs w:val="28"/>
        </w:rPr>
        <w:fldChar w:fldCharType="separate"/>
      </w:r>
      <w:r>
        <w:rPr>
          <w:rFonts w:hint="eastAsia" w:ascii="黑体" w:hAnsi="黑体" w:eastAsia="黑体" w:cs="黑体"/>
          <w:sz w:val="28"/>
          <w:szCs w:val="28"/>
        </w:rPr>
        <w:t>7</w:t>
      </w:r>
      <w:r>
        <w:rPr>
          <w:rFonts w:hint="eastAsia" w:ascii="黑体" w:hAnsi="黑体" w:eastAsia="黑体" w:cs="黑体"/>
          <w:sz w:val="28"/>
          <w:szCs w:val="28"/>
        </w:rPr>
        <w:fldChar w:fldCharType="end"/>
      </w:r>
      <w:r>
        <w:rPr>
          <w:rFonts w:hint="eastAsia" w:ascii="黑体" w:hAnsi="黑体" w:eastAsia="黑体" w:cs="黑体"/>
          <w:sz w:val="28"/>
          <w:szCs w:val="28"/>
        </w:rPr>
        <w:fldChar w:fldCharType="end"/>
      </w:r>
    </w:p>
    <w:p w14:paraId="00B2E2C2">
      <w:pPr>
        <w:pStyle w:val="19"/>
        <w:keepNext w:val="0"/>
        <w:keepLines w:val="0"/>
        <w:pageBreakBefore w:val="0"/>
        <w:widowControl w:val="0"/>
        <w:tabs>
          <w:tab w:val="right" w:leader="dot" w:pos="8845"/>
        </w:tabs>
        <w:kinsoku/>
        <w:wordWrap/>
        <w:overflowPunct/>
        <w:topLinePunct w:val="0"/>
        <w:autoSpaceDE/>
        <w:autoSpaceDN/>
        <w:bidi w:val="0"/>
        <w:adjustRightInd/>
        <w:snapToGrid/>
        <w:spacing w:line="500" w:lineRule="exact"/>
        <w:textAlignment w:val="auto"/>
        <w:rPr>
          <w:rFonts w:hint="eastAsia" w:ascii="楷体_GB2312" w:hAnsi="楷体_GB2312" w:eastAsia="楷体_GB2312" w:cs="楷体_GB2312"/>
          <w:sz w:val="28"/>
          <w:szCs w:val="28"/>
        </w:rPr>
      </w:pPr>
      <w:r>
        <w:rPr>
          <w:rFonts w:hint="eastAsia" w:ascii="楷体_GB2312" w:hAnsi="楷体_GB2312" w:eastAsia="楷体_GB2312" w:cs="楷体_GB2312"/>
          <w:sz w:val="28"/>
          <w:szCs w:val="28"/>
        </w:rPr>
        <w:fldChar w:fldCharType="begin"/>
      </w:r>
      <w:r>
        <w:rPr>
          <w:rFonts w:hint="eastAsia" w:ascii="楷体_GB2312" w:hAnsi="楷体_GB2312" w:eastAsia="楷体_GB2312" w:cs="楷体_GB2312"/>
          <w:sz w:val="28"/>
          <w:szCs w:val="28"/>
        </w:rPr>
        <w:instrText xml:space="preserve"> HYPERLINK \l _Toc24809 </w:instrText>
      </w:r>
      <w:r>
        <w:rPr>
          <w:rFonts w:hint="eastAsia" w:ascii="楷体_GB2312" w:hAnsi="楷体_GB2312" w:eastAsia="楷体_GB2312" w:cs="楷体_GB2312"/>
          <w:sz w:val="28"/>
          <w:szCs w:val="28"/>
        </w:rPr>
        <w:fldChar w:fldCharType="separate"/>
      </w:r>
      <w:r>
        <w:rPr>
          <w:rFonts w:hint="eastAsia" w:ascii="楷体_GB2312" w:hAnsi="楷体_GB2312" w:eastAsia="楷体_GB2312" w:cs="楷体_GB2312"/>
          <w:kern w:val="2"/>
          <w:sz w:val="28"/>
          <w:szCs w:val="28"/>
        </w:rPr>
        <w:t xml:space="preserve">第一节 </w:t>
      </w:r>
      <w:r>
        <w:rPr>
          <w:rFonts w:hint="eastAsia" w:ascii="楷体_GB2312" w:hAnsi="楷体_GB2312" w:eastAsia="楷体_GB2312" w:cs="楷体_GB2312"/>
          <w:kern w:val="2"/>
          <w:sz w:val="28"/>
          <w:szCs w:val="28"/>
          <w:lang w:val="en-US" w:eastAsia="zh-CN"/>
        </w:rPr>
        <w:t xml:space="preserve"> </w:t>
      </w:r>
      <w:r>
        <w:rPr>
          <w:rFonts w:hint="eastAsia" w:ascii="楷体_GB2312" w:hAnsi="楷体_GB2312" w:eastAsia="楷体_GB2312" w:cs="楷体_GB2312"/>
          <w:kern w:val="2"/>
          <w:sz w:val="28"/>
          <w:szCs w:val="28"/>
        </w:rPr>
        <w:t>指导思想</w:t>
      </w:r>
      <w:r>
        <w:rPr>
          <w:rFonts w:hint="eastAsia" w:ascii="楷体_GB2312" w:hAnsi="楷体_GB2312" w:eastAsia="楷体_GB2312" w:cs="楷体_GB2312"/>
          <w:sz w:val="28"/>
          <w:szCs w:val="28"/>
        </w:rPr>
        <w:tab/>
      </w:r>
      <w:r>
        <w:rPr>
          <w:rFonts w:hint="eastAsia" w:ascii="楷体_GB2312" w:hAnsi="楷体_GB2312" w:eastAsia="楷体_GB2312" w:cs="楷体_GB2312"/>
          <w:sz w:val="28"/>
          <w:szCs w:val="28"/>
        </w:rPr>
        <w:fldChar w:fldCharType="begin"/>
      </w:r>
      <w:r>
        <w:rPr>
          <w:rFonts w:hint="eastAsia" w:ascii="楷体_GB2312" w:hAnsi="楷体_GB2312" w:eastAsia="楷体_GB2312" w:cs="楷体_GB2312"/>
          <w:sz w:val="28"/>
          <w:szCs w:val="28"/>
        </w:rPr>
        <w:instrText xml:space="preserve"> PAGEREF _Toc24809 \h </w:instrText>
      </w:r>
      <w:r>
        <w:rPr>
          <w:rFonts w:hint="eastAsia" w:ascii="楷体_GB2312" w:hAnsi="楷体_GB2312" w:eastAsia="楷体_GB2312" w:cs="楷体_GB2312"/>
          <w:sz w:val="28"/>
          <w:szCs w:val="28"/>
        </w:rPr>
        <w:fldChar w:fldCharType="separate"/>
      </w:r>
      <w:r>
        <w:rPr>
          <w:rFonts w:hint="eastAsia" w:ascii="楷体_GB2312" w:hAnsi="楷体_GB2312" w:eastAsia="楷体_GB2312" w:cs="楷体_GB2312"/>
          <w:sz w:val="28"/>
          <w:szCs w:val="28"/>
        </w:rPr>
        <w:t>7</w:t>
      </w:r>
      <w:r>
        <w:rPr>
          <w:rFonts w:hint="eastAsia" w:ascii="楷体_GB2312" w:hAnsi="楷体_GB2312" w:eastAsia="楷体_GB2312" w:cs="楷体_GB2312"/>
          <w:sz w:val="28"/>
          <w:szCs w:val="28"/>
        </w:rPr>
        <w:fldChar w:fldCharType="end"/>
      </w:r>
      <w:r>
        <w:rPr>
          <w:rFonts w:hint="eastAsia" w:ascii="楷体_GB2312" w:hAnsi="楷体_GB2312" w:eastAsia="楷体_GB2312" w:cs="楷体_GB2312"/>
          <w:sz w:val="28"/>
          <w:szCs w:val="28"/>
        </w:rPr>
        <w:fldChar w:fldCharType="end"/>
      </w:r>
    </w:p>
    <w:p w14:paraId="066496FD">
      <w:pPr>
        <w:pStyle w:val="19"/>
        <w:keepNext w:val="0"/>
        <w:keepLines w:val="0"/>
        <w:pageBreakBefore w:val="0"/>
        <w:widowControl w:val="0"/>
        <w:tabs>
          <w:tab w:val="right" w:leader="dot" w:pos="8845"/>
        </w:tabs>
        <w:kinsoku/>
        <w:wordWrap/>
        <w:overflowPunct/>
        <w:topLinePunct w:val="0"/>
        <w:autoSpaceDE/>
        <w:autoSpaceDN/>
        <w:bidi w:val="0"/>
        <w:adjustRightInd/>
        <w:snapToGrid/>
        <w:spacing w:line="500" w:lineRule="exact"/>
        <w:textAlignment w:val="auto"/>
        <w:rPr>
          <w:rFonts w:hint="eastAsia" w:ascii="楷体_GB2312" w:hAnsi="楷体_GB2312" w:eastAsia="楷体_GB2312" w:cs="楷体_GB2312"/>
          <w:sz w:val="28"/>
          <w:szCs w:val="28"/>
        </w:rPr>
      </w:pPr>
      <w:r>
        <w:rPr>
          <w:rFonts w:hint="eastAsia" w:ascii="楷体_GB2312" w:hAnsi="楷体_GB2312" w:eastAsia="楷体_GB2312" w:cs="楷体_GB2312"/>
          <w:sz w:val="28"/>
          <w:szCs w:val="28"/>
        </w:rPr>
        <w:fldChar w:fldCharType="begin"/>
      </w:r>
      <w:r>
        <w:rPr>
          <w:rFonts w:hint="eastAsia" w:ascii="楷体_GB2312" w:hAnsi="楷体_GB2312" w:eastAsia="楷体_GB2312" w:cs="楷体_GB2312"/>
          <w:sz w:val="28"/>
          <w:szCs w:val="28"/>
        </w:rPr>
        <w:instrText xml:space="preserve"> HYPERLINK \l _Toc2931 </w:instrText>
      </w:r>
      <w:r>
        <w:rPr>
          <w:rFonts w:hint="eastAsia" w:ascii="楷体_GB2312" w:hAnsi="楷体_GB2312" w:eastAsia="楷体_GB2312" w:cs="楷体_GB2312"/>
          <w:sz w:val="28"/>
          <w:szCs w:val="28"/>
        </w:rPr>
        <w:fldChar w:fldCharType="separate"/>
      </w:r>
      <w:r>
        <w:rPr>
          <w:rFonts w:hint="eastAsia" w:ascii="楷体_GB2312" w:hAnsi="楷体_GB2312" w:eastAsia="楷体_GB2312" w:cs="楷体_GB2312"/>
          <w:kern w:val="2"/>
          <w:sz w:val="28"/>
          <w:szCs w:val="28"/>
        </w:rPr>
        <w:t xml:space="preserve">第二节 </w:t>
      </w:r>
      <w:r>
        <w:rPr>
          <w:rFonts w:hint="eastAsia" w:ascii="楷体_GB2312" w:hAnsi="楷体_GB2312" w:eastAsia="楷体_GB2312" w:cs="楷体_GB2312"/>
          <w:kern w:val="2"/>
          <w:sz w:val="28"/>
          <w:szCs w:val="28"/>
          <w:lang w:val="en-US" w:eastAsia="zh-CN"/>
        </w:rPr>
        <w:t xml:space="preserve"> </w:t>
      </w:r>
      <w:r>
        <w:rPr>
          <w:rFonts w:hint="eastAsia" w:ascii="楷体_GB2312" w:hAnsi="楷体_GB2312" w:eastAsia="楷体_GB2312" w:cs="楷体_GB2312"/>
          <w:kern w:val="2"/>
          <w:sz w:val="28"/>
          <w:szCs w:val="28"/>
        </w:rPr>
        <w:t>基本原则</w:t>
      </w:r>
      <w:r>
        <w:rPr>
          <w:rFonts w:hint="eastAsia" w:ascii="楷体_GB2312" w:hAnsi="楷体_GB2312" w:eastAsia="楷体_GB2312" w:cs="楷体_GB2312"/>
          <w:sz w:val="28"/>
          <w:szCs w:val="28"/>
        </w:rPr>
        <w:tab/>
      </w:r>
      <w:r>
        <w:rPr>
          <w:rFonts w:hint="eastAsia" w:ascii="楷体_GB2312" w:hAnsi="楷体_GB2312" w:eastAsia="楷体_GB2312" w:cs="楷体_GB2312"/>
          <w:sz w:val="28"/>
          <w:szCs w:val="28"/>
        </w:rPr>
        <w:fldChar w:fldCharType="begin"/>
      </w:r>
      <w:r>
        <w:rPr>
          <w:rFonts w:hint="eastAsia" w:ascii="楷体_GB2312" w:hAnsi="楷体_GB2312" w:eastAsia="楷体_GB2312" w:cs="楷体_GB2312"/>
          <w:sz w:val="28"/>
          <w:szCs w:val="28"/>
        </w:rPr>
        <w:instrText xml:space="preserve"> PAGEREF _Toc2931 \h </w:instrText>
      </w:r>
      <w:r>
        <w:rPr>
          <w:rFonts w:hint="eastAsia" w:ascii="楷体_GB2312" w:hAnsi="楷体_GB2312" w:eastAsia="楷体_GB2312" w:cs="楷体_GB2312"/>
          <w:sz w:val="28"/>
          <w:szCs w:val="28"/>
        </w:rPr>
        <w:fldChar w:fldCharType="separate"/>
      </w:r>
      <w:r>
        <w:rPr>
          <w:rFonts w:hint="eastAsia" w:ascii="楷体_GB2312" w:hAnsi="楷体_GB2312" w:eastAsia="楷体_GB2312" w:cs="楷体_GB2312"/>
          <w:sz w:val="28"/>
          <w:szCs w:val="28"/>
        </w:rPr>
        <w:t>7</w:t>
      </w:r>
      <w:r>
        <w:rPr>
          <w:rFonts w:hint="eastAsia" w:ascii="楷体_GB2312" w:hAnsi="楷体_GB2312" w:eastAsia="楷体_GB2312" w:cs="楷体_GB2312"/>
          <w:sz w:val="28"/>
          <w:szCs w:val="28"/>
        </w:rPr>
        <w:fldChar w:fldCharType="end"/>
      </w:r>
      <w:r>
        <w:rPr>
          <w:rFonts w:hint="eastAsia" w:ascii="楷体_GB2312" w:hAnsi="楷体_GB2312" w:eastAsia="楷体_GB2312" w:cs="楷体_GB2312"/>
          <w:sz w:val="28"/>
          <w:szCs w:val="28"/>
        </w:rPr>
        <w:fldChar w:fldCharType="end"/>
      </w:r>
    </w:p>
    <w:p w14:paraId="36AF1235">
      <w:pPr>
        <w:pStyle w:val="19"/>
        <w:keepNext w:val="0"/>
        <w:keepLines w:val="0"/>
        <w:pageBreakBefore w:val="0"/>
        <w:widowControl w:val="0"/>
        <w:tabs>
          <w:tab w:val="right" w:leader="dot" w:pos="8845"/>
        </w:tabs>
        <w:kinsoku/>
        <w:wordWrap/>
        <w:overflowPunct/>
        <w:topLinePunct w:val="0"/>
        <w:autoSpaceDE/>
        <w:autoSpaceDN/>
        <w:bidi w:val="0"/>
        <w:adjustRightInd/>
        <w:snapToGrid/>
        <w:spacing w:line="500" w:lineRule="exact"/>
        <w:textAlignment w:val="auto"/>
        <w:rPr>
          <w:rFonts w:hint="eastAsia" w:ascii="楷体_GB2312" w:hAnsi="楷体_GB2312" w:eastAsia="楷体_GB2312" w:cs="楷体_GB2312"/>
          <w:sz w:val="28"/>
          <w:szCs w:val="28"/>
        </w:rPr>
      </w:pPr>
      <w:r>
        <w:rPr>
          <w:rFonts w:hint="eastAsia" w:ascii="楷体_GB2312" w:hAnsi="楷体_GB2312" w:eastAsia="楷体_GB2312" w:cs="楷体_GB2312"/>
          <w:sz w:val="28"/>
          <w:szCs w:val="28"/>
        </w:rPr>
        <w:fldChar w:fldCharType="begin"/>
      </w:r>
      <w:r>
        <w:rPr>
          <w:rFonts w:hint="eastAsia" w:ascii="楷体_GB2312" w:hAnsi="楷体_GB2312" w:eastAsia="楷体_GB2312" w:cs="楷体_GB2312"/>
          <w:sz w:val="28"/>
          <w:szCs w:val="28"/>
        </w:rPr>
        <w:instrText xml:space="preserve"> HYPERLINK \l _Toc23410 </w:instrText>
      </w:r>
      <w:r>
        <w:rPr>
          <w:rFonts w:hint="eastAsia" w:ascii="楷体_GB2312" w:hAnsi="楷体_GB2312" w:eastAsia="楷体_GB2312" w:cs="楷体_GB2312"/>
          <w:sz w:val="28"/>
          <w:szCs w:val="28"/>
        </w:rPr>
        <w:fldChar w:fldCharType="separate"/>
      </w:r>
      <w:r>
        <w:rPr>
          <w:rFonts w:hint="eastAsia" w:ascii="楷体_GB2312" w:hAnsi="楷体_GB2312" w:eastAsia="楷体_GB2312" w:cs="楷体_GB2312"/>
          <w:kern w:val="2"/>
          <w:sz w:val="28"/>
          <w:szCs w:val="28"/>
        </w:rPr>
        <w:t xml:space="preserve">第三节 </w:t>
      </w:r>
      <w:r>
        <w:rPr>
          <w:rFonts w:hint="eastAsia" w:ascii="楷体_GB2312" w:hAnsi="楷体_GB2312" w:eastAsia="楷体_GB2312" w:cs="楷体_GB2312"/>
          <w:kern w:val="2"/>
          <w:sz w:val="28"/>
          <w:szCs w:val="28"/>
          <w:lang w:val="en-US" w:eastAsia="zh-CN"/>
        </w:rPr>
        <w:t xml:space="preserve"> </w:t>
      </w:r>
      <w:r>
        <w:rPr>
          <w:rFonts w:hint="eastAsia" w:ascii="楷体_GB2312" w:hAnsi="楷体_GB2312" w:eastAsia="楷体_GB2312" w:cs="楷体_GB2312"/>
          <w:kern w:val="2"/>
          <w:sz w:val="28"/>
          <w:szCs w:val="28"/>
        </w:rPr>
        <w:t>总体要求和主要目标</w:t>
      </w:r>
      <w:r>
        <w:rPr>
          <w:rFonts w:hint="eastAsia" w:ascii="楷体_GB2312" w:hAnsi="楷体_GB2312" w:eastAsia="楷体_GB2312" w:cs="楷体_GB2312"/>
          <w:sz w:val="28"/>
          <w:szCs w:val="28"/>
        </w:rPr>
        <w:tab/>
      </w:r>
      <w:r>
        <w:rPr>
          <w:rFonts w:hint="eastAsia" w:ascii="楷体_GB2312" w:hAnsi="楷体_GB2312" w:eastAsia="楷体_GB2312" w:cs="楷体_GB2312"/>
          <w:sz w:val="28"/>
          <w:szCs w:val="28"/>
        </w:rPr>
        <w:fldChar w:fldCharType="begin"/>
      </w:r>
      <w:r>
        <w:rPr>
          <w:rFonts w:hint="eastAsia" w:ascii="楷体_GB2312" w:hAnsi="楷体_GB2312" w:eastAsia="楷体_GB2312" w:cs="楷体_GB2312"/>
          <w:sz w:val="28"/>
          <w:szCs w:val="28"/>
        </w:rPr>
        <w:instrText xml:space="preserve"> PAGEREF _Toc23410 \h </w:instrText>
      </w:r>
      <w:r>
        <w:rPr>
          <w:rFonts w:hint="eastAsia" w:ascii="楷体_GB2312" w:hAnsi="楷体_GB2312" w:eastAsia="楷体_GB2312" w:cs="楷体_GB2312"/>
          <w:sz w:val="28"/>
          <w:szCs w:val="28"/>
        </w:rPr>
        <w:fldChar w:fldCharType="separate"/>
      </w:r>
      <w:r>
        <w:rPr>
          <w:rFonts w:hint="eastAsia" w:ascii="楷体_GB2312" w:hAnsi="楷体_GB2312" w:eastAsia="楷体_GB2312" w:cs="楷体_GB2312"/>
          <w:sz w:val="28"/>
          <w:szCs w:val="28"/>
        </w:rPr>
        <w:t>9</w:t>
      </w:r>
      <w:r>
        <w:rPr>
          <w:rFonts w:hint="eastAsia" w:ascii="楷体_GB2312" w:hAnsi="楷体_GB2312" w:eastAsia="楷体_GB2312" w:cs="楷体_GB2312"/>
          <w:sz w:val="28"/>
          <w:szCs w:val="28"/>
        </w:rPr>
        <w:fldChar w:fldCharType="end"/>
      </w:r>
      <w:r>
        <w:rPr>
          <w:rFonts w:hint="eastAsia" w:ascii="楷体_GB2312" w:hAnsi="楷体_GB2312" w:eastAsia="楷体_GB2312" w:cs="楷体_GB2312"/>
          <w:sz w:val="28"/>
          <w:szCs w:val="28"/>
        </w:rPr>
        <w:fldChar w:fldCharType="end"/>
      </w:r>
    </w:p>
    <w:p w14:paraId="04A5D380">
      <w:pPr>
        <w:pStyle w:val="19"/>
        <w:keepNext w:val="0"/>
        <w:keepLines w:val="0"/>
        <w:pageBreakBefore w:val="0"/>
        <w:widowControl w:val="0"/>
        <w:tabs>
          <w:tab w:val="right" w:leader="dot" w:pos="8845"/>
        </w:tabs>
        <w:kinsoku/>
        <w:wordWrap/>
        <w:overflowPunct/>
        <w:topLinePunct w:val="0"/>
        <w:autoSpaceDE/>
        <w:autoSpaceDN/>
        <w:bidi w:val="0"/>
        <w:adjustRightInd/>
        <w:snapToGrid/>
        <w:spacing w:line="500" w:lineRule="exact"/>
        <w:textAlignment w:val="auto"/>
        <w:rPr>
          <w:sz w:val="28"/>
          <w:szCs w:val="28"/>
        </w:rPr>
      </w:pPr>
      <w:r>
        <w:rPr>
          <w:rFonts w:hint="eastAsia" w:ascii="楷体_GB2312" w:hAnsi="楷体_GB2312" w:eastAsia="楷体_GB2312" w:cs="楷体_GB2312"/>
          <w:sz w:val="28"/>
          <w:szCs w:val="28"/>
        </w:rPr>
        <w:fldChar w:fldCharType="begin"/>
      </w:r>
      <w:r>
        <w:rPr>
          <w:rFonts w:hint="eastAsia" w:ascii="楷体_GB2312" w:hAnsi="楷体_GB2312" w:eastAsia="楷体_GB2312" w:cs="楷体_GB2312"/>
          <w:sz w:val="28"/>
          <w:szCs w:val="28"/>
        </w:rPr>
        <w:instrText xml:space="preserve"> HYPERLINK \l _Toc32278 </w:instrText>
      </w:r>
      <w:r>
        <w:rPr>
          <w:rFonts w:hint="eastAsia" w:ascii="楷体_GB2312" w:hAnsi="楷体_GB2312" w:eastAsia="楷体_GB2312" w:cs="楷体_GB2312"/>
          <w:sz w:val="28"/>
          <w:szCs w:val="28"/>
        </w:rPr>
        <w:fldChar w:fldCharType="separate"/>
      </w:r>
      <w:r>
        <w:rPr>
          <w:rFonts w:hint="eastAsia" w:ascii="楷体_GB2312" w:hAnsi="楷体_GB2312" w:eastAsia="楷体_GB2312" w:cs="楷体_GB2312"/>
          <w:kern w:val="2"/>
          <w:sz w:val="28"/>
          <w:szCs w:val="28"/>
        </w:rPr>
        <w:t xml:space="preserve">第四节 </w:t>
      </w:r>
      <w:r>
        <w:rPr>
          <w:rFonts w:hint="eastAsia" w:ascii="楷体_GB2312" w:hAnsi="楷体_GB2312" w:eastAsia="楷体_GB2312" w:cs="楷体_GB2312"/>
          <w:kern w:val="2"/>
          <w:sz w:val="28"/>
          <w:szCs w:val="28"/>
          <w:lang w:val="en-US" w:eastAsia="zh-CN"/>
        </w:rPr>
        <w:t xml:space="preserve"> </w:t>
      </w:r>
      <w:r>
        <w:rPr>
          <w:rFonts w:hint="eastAsia" w:ascii="楷体_GB2312" w:hAnsi="楷体_GB2312" w:eastAsia="楷体_GB2312" w:cs="楷体_GB2312"/>
          <w:kern w:val="2"/>
          <w:sz w:val="28"/>
          <w:szCs w:val="28"/>
          <w:lang w:eastAsia="zh-CN"/>
        </w:rPr>
        <w:t>城镇发展定位</w:t>
      </w:r>
      <w:r>
        <w:rPr>
          <w:rFonts w:hint="eastAsia" w:ascii="楷体_GB2312" w:hAnsi="楷体_GB2312" w:eastAsia="楷体_GB2312" w:cs="楷体_GB2312"/>
          <w:sz w:val="28"/>
          <w:szCs w:val="28"/>
        </w:rPr>
        <w:tab/>
      </w:r>
      <w:r>
        <w:rPr>
          <w:rFonts w:hint="eastAsia" w:ascii="楷体_GB2312" w:hAnsi="楷体_GB2312" w:eastAsia="楷体_GB2312" w:cs="楷体_GB2312"/>
          <w:sz w:val="28"/>
          <w:szCs w:val="28"/>
        </w:rPr>
        <w:fldChar w:fldCharType="begin"/>
      </w:r>
      <w:r>
        <w:rPr>
          <w:rFonts w:hint="eastAsia" w:ascii="楷体_GB2312" w:hAnsi="楷体_GB2312" w:eastAsia="楷体_GB2312" w:cs="楷体_GB2312"/>
          <w:sz w:val="28"/>
          <w:szCs w:val="28"/>
        </w:rPr>
        <w:instrText xml:space="preserve"> PAGEREF _Toc32278 \h </w:instrText>
      </w:r>
      <w:r>
        <w:rPr>
          <w:rFonts w:hint="eastAsia" w:ascii="楷体_GB2312" w:hAnsi="楷体_GB2312" w:eastAsia="楷体_GB2312" w:cs="楷体_GB2312"/>
          <w:sz w:val="28"/>
          <w:szCs w:val="28"/>
        </w:rPr>
        <w:fldChar w:fldCharType="separate"/>
      </w:r>
      <w:r>
        <w:rPr>
          <w:rFonts w:hint="eastAsia" w:ascii="楷体_GB2312" w:hAnsi="楷体_GB2312" w:eastAsia="楷体_GB2312" w:cs="楷体_GB2312"/>
          <w:sz w:val="28"/>
          <w:szCs w:val="28"/>
        </w:rPr>
        <w:t>13</w:t>
      </w:r>
      <w:r>
        <w:rPr>
          <w:rFonts w:hint="eastAsia" w:ascii="楷体_GB2312" w:hAnsi="楷体_GB2312" w:eastAsia="楷体_GB2312" w:cs="楷体_GB2312"/>
          <w:sz w:val="28"/>
          <w:szCs w:val="28"/>
        </w:rPr>
        <w:fldChar w:fldCharType="end"/>
      </w:r>
      <w:r>
        <w:rPr>
          <w:rFonts w:hint="eastAsia" w:ascii="楷体_GB2312" w:hAnsi="楷体_GB2312" w:eastAsia="楷体_GB2312" w:cs="楷体_GB2312"/>
          <w:sz w:val="28"/>
          <w:szCs w:val="28"/>
        </w:rPr>
        <w:fldChar w:fldCharType="end"/>
      </w:r>
    </w:p>
    <w:p w14:paraId="38395C03">
      <w:pPr>
        <w:pStyle w:val="17"/>
        <w:keepNext w:val="0"/>
        <w:keepLines w:val="0"/>
        <w:pageBreakBefore w:val="0"/>
        <w:widowControl w:val="0"/>
        <w:tabs>
          <w:tab w:val="right" w:leader="dot" w:pos="8845"/>
        </w:tabs>
        <w:kinsoku/>
        <w:wordWrap/>
        <w:overflowPunct/>
        <w:topLinePunct w:val="0"/>
        <w:autoSpaceDE/>
        <w:autoSpaceDN/>
        <w:bidi w:val="0"/>
        <w:adjustRightInd/>
        <w:snapToGrid/>
        <w:spacing w:line="500" w:lineRule="exact"/>
        <w:textAlignment w:val="auto"/>
        <w:rPr>
          <w:rFonts w:hint="eastAsia" w:ascii="黑体" w:hAnsi="黑体" w:eastAsia="黑体" w:cs="黑体"/>
          <w:sz w:val="28"/>
          <w:szCs w:val="28"/>
        </w:rPr>
      </w:pPr>
      <w:r>
        <w:rPr>
          <w:rFonts w:hint="eastAsia" w:ascii="黑体" w:hAnsi="黑体" w:eastAsia="黑体" w:cs="黑体"/>
          <w:sz w:val="28"/>
          <w:szCs w:val="28"/>
        </w:rPr>
        <w:fldChar w:fldCharType="begin"/>
      </w:r>
      <w:r>
        <w:rPr>
          <w:rFonts w:hint="eastAsia" w:ascii="黑体" w:hAnsi="黑体" w:eastAsia="黑体" w:cs="黑体"/>
          <w:sz w:val="28"/>
          <w:szCs w:val="28"/>
        </w:rPr>
        <w:instrText xml:space="preserve"> HYPERLINK \l _Toc26707 </w:instrText>
      </w:r>
      <w:r>
        <w:rPr>
          <w:rFonts w:hint="eastAsia" w:ascii="黑体" w:hAnsi="黑体" w:eastAsia="黑体" w:cs="黑体"/>
          <w:sz w:val="28"/>
          <w:szCs w:val="28"/>
        </w:rPr>
        <w:fldChar w:fldCharType="separate"/>
      </w:r>
      <w:r>
        <w:rPr>
          <w:rFonts w:hint="eastAsia" w:ascii="黑体" w:hAnsi="黑体" w:eastAsia="黑体" w:cs="黑体"/>
          <w:kern w:val="2"/>
          <w:sz w:val="28"/>
          <w:szCs w:val="28"/>
        </w:rPr>
        <w:t>第</w:t>
      </w:r>
      <w:r>
        <w:rPr>
          <w:rFonts w:hint="eastAsia" w:ascii="黑体" w:hAnsi="黑体" w:eastAsia="黑体" w:cs="黑体"/>
          <w:kern w:val="2"/>
          <w:sz w:val="28"/>
          <w:szCs w:val="28"/>
          <w:lang w:eastAsia="zh-CN"/>
        </w:rPr>
        <w:t>三</w:t>
      </w:r>
      <w:r>
        <w:rPr>
          <w:rFonts w:hint="eastAsia" w:ascii="黑体" w:hAnsi="黑体" w:eastAsia="黑体" w:cs="黑体"/>
          <w:kern w:val="2"/>
          <w:sz w:val="28"/>
          <w:szCs w:val="28"/>
        </w:rPr>
        <w:t>章  夯实实体经济根基，加快建设现代化产业体系</w:t>
      </w:r>
      <w:r>
        <w:rPr>
          <w:rFonts w:hint="eastAsia" w:ascii="黑体" w:hAnsi="黑体" w:eastAsia="黑体" w:cs="黑体"/>
          <w:sz w:val="28"/>
          <w:szCs w:val="28"/>
        </w:rPr>
        <w:tab/>
      </w:r>
      <w:r>
        <w:rPr>
          <w:rFonts w:hint="eastAsia" w:ascii="黑体" w:hAnsi="黑体" w:eastAsia="黑体" w:cs="黑体"/>
          <w:sz w:val="28"/>
          <w:szCs w:val="28"/>
        </w:rPr>
        <w:fldChar w:fldCharType="begin"/>
      </w:r>
      <w:r>
        <w:rPr>
          <w:rFonts w:hint="eastAsia" w:ascii="黑体" w:hAnsi="黑体" w:eastAsia="黑体" w:cs="黑体"/>
          <w:sz w:val="28"/>
          <w:szCs w:val="28"/>
        </w:rPr>
        <w:instrText xml:space="preserve"> PAGEREF _Toc26707 \h </w:instrText>
      </w:r>
      <w:r>
        <w:rPr>
          <w:rFonts w:hint="eastAsia" w:ascii="黑体" w:hAnsi="黑体" w:eastAsia="黑体" w:cs="黑体"/>
          <w:sz w:val="28"/>
          <w:szCs w:val="28"/>
        </w:rPr>
        <w:fldChar w:fldCharType="separate"/>
      </w:r>
      <w:r>
        <w:rPr>
          <w:rFonts w:hint="eastAsia" w:ascii="黑体" w:hAnsi="黑体" w:eastAsia="黑体" w:cs="黑体"/>
          <w:sz w:val="28"/>
          <w:szCs w:val="28"/>
        </w:rPr>
        <w:t>16</w:t>
      </w:r>
      <w:r>
        <w:rPr>
          <w:rFonts w:hint="eastAsia" w:ascii="黑体" w:hAnsi="黑体" w:eastAsia="黑体" w:cs="黑体"/>
          <w:sz w:val="28"/>
          <w:szCs w:val="28"/>
        </w:rPr>
        <w:fldChar w:fldCharType="end"/>
      </w:r>
      <w:r>
        <w:rPr>
          <w:rFonts w:hint="eastAsia" w:ascii="黑体" w:hAnsi="黑体" w:eastAsia="黑体" w:cs="黑体"/>
          <w:sz w:val="28"/>
          <w:szCs w:val="28"/>
        </w:rPr>
        <w:fldChar w:fldCharType="end"/>
      </w:r>
    </w:p>
    <w:p w14:paraId="5FB96B23">
      <w:pPr>
        <w:pStyle w:val="19"/>
        <w:keepNext w:val="0"/>
        <w:keepLines w:val="0"/>
        <w:pageBreakBefore w:val="0"/>
        <w:widowControl w:val="0"/>
        <w:tabs>
          <w:tab w:val="right" w:leader="dot" w:pos="8845"/>
        </w:tabs>
        <w:kinsoku/>
        <w:wordWrap/>
        <w:overflowPunct/>
        <w:topLinePunct w:val="0"/>
        <w:autoSpaceDE/>
        <w:autoSpaceDN/>
        <w:bidi w:val="0"/>
        <w:adjustRightInd/>
        <w:snapToGrid/>
        <w:spacing w:line="500" w:lineRule="exact"/>
        <w:textAlignment w:val="auto"/>
        <w:rPr>
          <w:sz w:val="28"/>
          <w:szCs w:val="28"/>
        </w:rPr>
      </w:pPr>
      <w:r>
        <w:rPr>
          <w:rFonts w:hint="eastAsia" w:ascii="楷体_GB2312" w:hAnsi="楷体_GB2312" w:eastAsia="楷体_GB2312" w:cs="楷体_GB2312"/>
          <w:sz w:val="28"/>
          <w:szCs w:val="28"/>
        </w:rPr>
        <w:fldChar w:fldCharType="begin"/>
      </w:r>
      <w:r>
        <w:rPr>
          <w:rFonts w:hint="eastAsia" w:ascii="楷体_GB2312" w:hAnsi="楷体_GB2312" w:eastAsia="楷体_GB2312" w:cs="楷体_GB2312"/>
          <w:sz w:val="28"/>
          <w:szCs w:val="28"/>
        </w:rPr>
        <w:instrText xml:space="preserve"> HYPERLINK \l _Toc17631 </w:instrText>
      </w:r>
      <w:r>
        <w:rPr>
          <w:rFonts w:hint="eastAsia" w:ascii="楷体_GB2312" w:hAnsi="楷体_GB2312" w:eastAsia="楷体_GB2312" w:cs="楷体_GB2312"/>
          <w:sz w:val="28"/>
          <w:szCs w:val="28"/>
        </w:rPr>
        <w:fldChar w:fldCharType="separate"/>
      </w:r>
      <w:r>
        <w:rPr>
          <w:rFonts w:hint="eastAsia" w:ascii="楷体_GB2312" w:hAnsi="楷体_GB2312" w:eastAsia="楷体_GB2312" w:cs="楷体_GB2312"/>
          <w:kern w:val="2"/>
          <w:sz w:val="28"/>
          <w:szCs w:val="28"/>
        </w:rPr>
        <w:t>第</w:t>
      </w:r>
      <w:r>
        <w:rPr>
          <w:rFonts w:hint="eastAsia" w:ascii="楷体_GB2312" w:hAnsi="楷体_GB2312" w:eastAsia="楷体_GB2312" w:cs="楷体_GB2312"/>
          <w:kern w:val="2"/>
          <w:sz w:val="28"/>
          <w:szCs w:val="28"/>
          <w:lang w:eastAsia="zh-CN"/>
        </w:rPr>
        <w:t>一</w:t>
      </w:r>
      <w:r>
        <w:rPr>
          <w:rFonts w:hint="eastAsia" w:ascii="楷体_GB2312" w:hAnsi="楷体_GB2312" w:eastAsia="楷体_GB2312" w:cs="楷体_GB2312"/>
          <w:kern w:val="2"/>
          <w:sz w:val="28"/>
          <w:szCs w:val="28"/>
        </w:rPr>
        <w:t>节</w:t>
      </w:r>
      <w:r>
        <w:rPr>
          <w:rFonts w:hint="eastAsia" w:ascii="楷体_GB2312" w:hAnsi="楷体_GB2312" w:eastAsia="楷体_GB2312" w:cs="楷体_GB2312"/>
          <w:kern w:val="2"/>
          <w:sz w:val="28"/>
          <w:szCs w:val="28"/>
          <w:lang w:val="en-US" w:eastAsia="zh-CN"/>
        </w:rPr>
        <w:t xml:space="preserve"> </w:t>
      </w:r>
      <w:r>
        <w:rPr>
          <w:rFonts w:hint="eastAsia" w:ascii="楷体_GB2312" w:hAnsi="楷体_GB2312" w:eastAsia="楷体_GB2312" w:cs="楷体_GB2312"/>
          <w:kern w:val="2"/>
          <w:sz w:val="28"/>
          <w:szCs w:val="28"/>
        </w:rPr>
        <w:t xml:space="preserve"> 深入推进新型工业化</w:t>
      </w:r>
      <w:r>
        <w:rPr>
          <w:rFonts w:hint="eastAsia" w:ascii="楷体_GB2312" w:hAnsi="楷体_GB2312" w:eastAsia="楷体_GB2312" w:cs="楷体_GB2312"/>
          <w:sz w:val="28"/>
          <w:szCs w:val="28"/>
        </w:rPr>
        <w:tab/>
      </w:r>
      <w:r>
        <w:rPr>
          <w:rFonts w:hint="eastAsia" w:ascii="楷体_GB2312" w:hAnsi="楷体_GB2312" w:eastAsia="楷体_GB2312" w:cs="楷体_GB2312"/>
          <w:sz w:val="28"/>
          <w:szCs w:val="28"/>
        </w:rPr>
        <w:fldChar w:fldCharType="begin"/>
      </w:r>
      <w:r>
        <w:rPr>
          <w:rFonts w:hint="eastAsia" w:ascii="楷体_GB2312" w:hAnsi="楷体_GB2312" w:eastAsia="楷体_GB2312" w:cs="楷体_GB2312"/>
          <w:sz w:val="28"/>
          <w:szCs w:val="28"/>
        </w:rPr>
        <w:instrText xml:space="preserve"> PAGEREF _Toc17631 \h </w:instrText>
      </w:r>
      <w:r>
        <w:rPr>
          <w:rFonts w:hint="eastAsia" w:ascii="楷体_GB2312" w:hAnsi="楷体_GB2312" w:eastAsia="楷体_GB2312" w:cs="楷体_GB2312"/>
          <w:sz w:val="28"/>
          <w:szCs w:val="28"/>
        </w:rPr>
        <w:fldChar w:fldCharType="separate"/>
      </w:r>
      <w:r>
        <w:rPr>
          <w:rFonts w:hint="eastAsia" w:ascii="楷体_GB2312" w:hAnsi="楷体_GB2312" w:eastAsia="楷体_GB2312" w:cs="楷体_GB2312"/>
          <w:sz w:val="28"/>
          <w:szCs w:val="28"/>
        </w:rPr>
        <w:t>16</w:t>
      </w:r>
      <w:r>
        <w:rPr>
          <w:rFonts w:hint="eastAsia" w:ascii="楷体_GB2312" w:hAnsi="楷体_GB2312" w:eastAsia="楷体_GB2312" w:cs="楷体_GB2312"/>
          <w:sz w:val="28"/>
          <w:szCs w:val="28"/>
        </w:rPr>
        <w:fldChar w:fldCharType="end"/>
      </w:r>
      <w:r>
        <w:rPr>
          <w:rFonts w:hint="eastAsia" w:ascii="楷体_GB2312" w:hAnsi="楷体_GB2312" w:eastAsia="楷体_GB2312" w:cs="楷体_GB2312"/>
          <w:sz w:val="28"/>
          <w:szCs w:val="28"/>
        </w:rPr>
        <w:fldChar w:fldCharType="end"/>
      </w:r>
    </w:p>
    <w:p w14:paraId="5A7A73B3">
      <w:pPr>
        <w:pStyle w:val="19"/>
        <w:keepNext w:val="0"/>
        <w:keepLines w:val="0"/>
        <w:pageBreakBefore w:val="0"/>
        <w:widowControl w:val="0"/>
        <w:tabs>
          <w:tab w:val="right" w:leader="dot" w:pos="8845"/>
        </w:tabs>
        <w:kinsoku/>
        <w:wordWrap/>
        <w:overflowPunct/>
        <w:topLinePunct w:val="0"/>
        <w:autoSpaceDE/>
        <w:autoSpaceDN/>
        <w:bidi w:val="0"/>
        <w:adjustRightInd/>
        <w:snapToGrid/>
        <w:spacing w:line="500" w:lineRule="exact"/>
        <w:textAlignment w:val="auto"/>
        <w:rPr>
          <w:sz w:val="28"/>
          <w:szCs w:val="28"/>
        </w:rPr>
      </w:pPr>
      <w:r>
        <w:rPr>
          <w:rFonts w:hint="eastAsia" w:ascii="楷体_GB2312" w:hAnsi="楷体_GB2312" w:eastAsia="楷体_GB2312" w:cs="楷体_GB2312"/>
          <w:sz w:val="28"/>
          <w:szCs w:val="28"/>
        </w:rPr>
        <w:fldChar w:fldCharType="begin"/>
      </w:r>
      <w:r>
        <w:rPr>
          <w:rFonts w:hint="eastAsia" w:ascii="楷体_GB2312" w:hAnsi="楷体_GB2312" w:eastAsia="楷体_GB2312" w:cs="楷体_GB2312"/>
          <w:sz w:val="28"/>
          <w:szCs w:val="28"/>
        </w:rPr>
        <w:instrText xml:space="preserve"> HYPERLINK \l _Toc15721 </w:instrText>
      </w:r>
      <w:r>
        <w:rPr>
          <w:rFonts w:hint="eastAsia" w:ascii="楷体_GB2312" w:hAnsi="楷体_GB2312" w:eastAsia="楷体_GB2312" w:cs="楷体_GB2312"/>
          <w:sz w:val="28"/>
          <w:szCs w:val="28"/>
        </w:rPr>
        <w:fldChar w:fldCharType="separate"/>
      </w:r>
      <w:r>
        <w:rPr>
          <w:rFonts w:ascii="楷体_GB2312" w:hAnsi="楷体_GB2312" w:eastAsia="楷体_GB2312" w:cs="楷体_GB2312"/>
          <w:kern w:val="21"/>
          <w:sz w:val="28"/>
          <w:szCs w:val="28"/>
        </w:rPr>
        <w:t>第</w:t>
      </w:r>
      <w:r>
        <w:rPr>
          <w:rFonts w:hint="eastAsia" w:ascii="楷体_GB2312" w:hAnsi="楷体_GB2312" w:eastAsia="楷体_GB2312" w:cs="楷体_GB2312"/>
          <w:kern w:val="21"/>
          <w:sz w:val="28"/>
          <w:szCs w:val="28"/>
          <w:lang w:eastAsia="zh-CN"/>
        </w:rPr>
        <w:t>二</w:t>
      </w:r>
      <w:r>
        <w:rPr>
          <w:rFonts w:ascii="楷体_GB2312" w:hAnsi="楷体_GB2312" w:eastAsia="楷体_GB2312" w:cs="楷体_GB2312"/>
          <w:kern w:val="21"/>
          <w:sz w:val="28"/>
          <w:szCs w:val="28"/>
        </w:rPr>
        <w:t xml:space="preserve">节 </w:t>
      </w:r>
      <w:r>
        <w:rPr>
          <w:rFonts w:hint="eastAsia" w:ascii="楷体_GB2312" w:hAnsi="楷体_GB2312" w:eastAsia="楷体_GB2312" w:cs="楷体_GB2312"/>
          <w:kern w:val="21"/>
          <w:sz w:val="28"/>
          <w:szCs w:val="28"/>
          <w:lang w:val="en-US" w:eastAsia="zh-CN"/>
        </w:rPr>
        <w:t xml:space="preserve"> </w:t>
      </w:r>
      <w:r>
        <w:rPr>
          <w:rFonts w:ascii="楷体_GB2312" w:hAnsi="楷体_GB2312" w:eastAsia="楷体_GB2312" w:cs="楷体_GB2312"/>
          <w:kern w:val="21"/>
          <w:sz w:val="28"/>
          <w:szCs w:val="28"/>
        </w:rPr>
        <w:t>做强做优现代服务业</w:t>
      </w:r>
      <w:r>
        <w:rPr>
          <w:rFonts w:hint="eastAsia" w:ascii="楷体_GB2312" w:hAnsi="楷体_GB2312" w:eastAsia="楷体_GB2312" w:cs="楷体_GB2312"/>
          <w:sz w:val="28"/>
          <w:szCs w:val="28"/>
        </w:rPr>
        <w:tab/>
      </w:r>
      <w:r>
        <w:rPr>
          <w:rFonts w:hint="eastAsia" w:ascii="楷体_GB2312" w:hAnsi="楷体_GB2312" w:eastAsia="楷体_GB2312" w:cs="楷体_GB2312"/>
          <w:sz w:val="28"/>
          <w:szCs w:val="28"/>
        </w:rPr>
        <w:fldChar w:fldCharType="begin"/>
      </w:r>
      <w:r>
        <w:rPr>
          <w:rFonts w:hint="eastAsia" w:ascii="楷体_GB2312" w:hAnsi="楷体_GB2312" w:eastAsia="楷体_GB2312" w:cs="楷体_GB2312"/>
          <w:sz w:val="28"/>
          <w:szCs w:val="28"/>
        </w:rPr>
        <w:instrText xml:space="preserve"> PAGEREF _Toc15721 \h </w:instrText>
      </w:r>
      <w:r>
        <w:rPr>
          <w:rFonts w:hint="eastAsia" w:ascii="楷体_GB2312" w:hAnsi="楷体_GB2312" w:eastAsia="楷体_GB2312" w:cs="楷体_GB2312"/>
          <w:sz w:val="28"/>
          <w:szCs w:val="28"/>
        </w:rPr>
        <w:fldChar w:fldCharType="separate"/>
      </w:r>
      <w:r>
        <w:rPr>
          <w:rFonts w:hint="eastAsia" w:ascii="楷体_GB2312" w:hAnsi="楷体_GB2312" w:eastAsia="楷体_GB2312" w:cs="楷体_GB2312"/>
          <w:sz w:val="28"/>
          <w:szCs w:val="28"/>
        </w:rPr>
        <w:t>18</w:t>
      </w:r>
      <w:r>
        <w:rPr>
          <w:rFonts w:hint="eastAsia" w:ascii="楷体_GB2312" w:hAnsi="楷体_GB2312" w:eastAsia="楷体_GB2312" w:cs="楷体_GB2312"/>
          <w:sz w:val="28"/>
          <w:szCs w:val="28"/>
        </w:rPr>
        <w:fldChar w:fldCharType="end"/>
      </w:r>
      <w:r>
        <w:rPr>
          <w:rFonts w:hint="eastAsia" w:ascii="楷体_GB2312" w:hAnsi="楷体_GB2312" w:eastAsia="楷体_GB2312" w:cs="楷体_GB2312"/>
          <w:sz w:val="28"/>
          <w:szCs w:val="28"/>
        </w:rPr>
        <w:fldChar w:fldCharType="end"/>
      </w:r>
    </w:p>
    <w:p w14:paraId="2B369852">
      <w:pPr>
        <w:pStyle w:val="17"/>
        <w:keepNext w:val="0"/>
        <w:keepLines w:val="0"/>
        <w:pageBreakBefore w:val="0"/>
        <w:widowControl w:val="0"/>
        <w:tabs>
          <w:tab w:val="right" w:leader="dot" w:pos="8845"/>
        </w:tabs>
        <w:kinsoku/>
        <w:wordWrap/>
        <w:overflowPunct/>
        <w:topLinePunct w:val="0"/>
        <w:autoSpaceDE/>
        <w:autoSpaceDN/>
        <w:bidi w:val="0"/>
        <w:adjustRightInd/>
        <w:snapToGrid/>
        <w:spacing w:line="500" w:lineRule="exact"/>
        <w:textAlignment w:val="auto"/>
        <w:rPr>
          <w:rFonts w:hint="eastAsia" w:ascii="黑体" w:hAnsi="黑体" w:eastAsia="黑体" w:cs="黑体"/>
          <w:sz w:val="28"/>
          <w:szCs w:val="28"/>
        </w:rPr>
      </w:pPr>
      <w:r>
        <w:rPr>
          <w:rFonts w:hint="eastAsia" w:ascii="黑体" w:hAnsi="黑体" w:eastAsia="黑体" w:cs="黑体"/>
          <w:sz w:val="28"/>
          <w:szCs w:val="28"/>
        </w:rPr>
        <w:fldChar w:fldCharType="begin"/>
      </w:r>
      <w:r>
        <w:rPr>
          <w:rFonts w:hint="eastAsia" w:ascii="黑体" w:hAnsi="黑体" w:eastAsia="黑体" w:cs="黑体"/>
          <w:sz w:val="28"/>
          <w:szCs w:val="28"/>
        </w:rPr>
        <w:instrText xml:space="preserve"> HYPERLINK \l _Toc25800 </w:instrText>
      </w:r>
      <w:r>
        <w:rPr>
          <w:rFonts w:hint="eastAsia" w:ascii="黑体" w:hAnsi="黑体" w:eastAsia="黑体" w:cs="黑体"/>
          <w:sz w:val="28"/>
          <w:szCs w:val="28"/>
        </w:rPr>
        <w:fldChar w:fldCharType="separate"/>
      </w:r>
      <w:r>
        <w:rPr>
          <w:rFonts w:hint="eastAsia" w:ascii="黑体" w:hAnsi="黑体" w:eastAsia="黑体" w:cs="黑体"/>
          <w:spacing w:val="0"/>
          <w:kern w:val="2"/>
          <w:sz w:val="28"/>
          <w:szCs w:val="28"/>
        </w:rPr>
        <w:t>第</w:t>
      </w:r>
      <w:r>
        <w:rPr>
          <w:rFonts w:hint="eastAsia" w:ascii="黑体" w:hAnsi="黑体" w:eastAsia="黑体" w:cs="黑体"/>
          <w:spacing w:val="0"/>
          <w:kern w:val="2"/>
          <w:sz w:val="28"/>
          <w:szCs w:val="28"/>
          <w:lang w:val="en-US" w:eastAsia="zh-CN"/>
        </w:rPr>
        <w:t>四</w:t>
      </w:r>
      <w:r>
        <w:rPr>
          <w:rFonts w:hint="eastAsia" w:ascii="黑体" w:hAnsi="黑体" w:eastAsia="黑体" w:cs="黑体"/>
          <w:spacing w:val="0"/>
          <w:kern w:val="2"/>
          <w:sz w:val="28"/>
          <w:szCs w:val="28"/>
        </w:rPr>
        <w:t xml:space="preserve">章  </w:t>
      </w:r>
      <w:r>
        <w:rPr>
          <w:rFonts w:hint="eastAsia" w:ascii="黑体" w:hAnsi="黑体" w:eastAsia="黑体" w:cs="黑体"/>
          <w:spacing w:val="0"/>
          <w:kern w:val="2"/>
          <w:sz w:val="28"/>
          <w:szCs w:val="28"/>
          <w:lang w:eastAsia="zh-CN"/>
        </w:rPr>
        <w:t>实施创新驱动发展战略</w:t>
      </w:r>
      <w:r>
        <w:rPr>
          <w:rFonts w:hint="eastAsia" w:ascii="黑体" w:hAnsi="黑体" w:eastAsia="黑体" w:cs="黑体"/>
          <w:spacing w:val="0"/>
          <w:sz w:val="28"/>
          <w:szCs w:val="28"/>
        </w:rPr>
        <w:t>，</w:t>
      </w:r>
      <w:r>
        <w:rPr>
          <w:rFonts w:hint="eastAsia" w:ascii="黑体" w:hAnsi="黑体" w:eastAsia="黑体" w:cs="黑体"/>
          <w:spacing w:val="0"/>
          <w:sz w:val="28"/>
          <w:szCs w:val="28"/>
          <w:lang w:eastAsia="zh-CN"/>
        </w:rPr>
        <w:t>因地制宜加快</w:t>
      </w:r>
      <w:r>
        <w:rPr>
          <w:rFonts w:hint="eastAsia" w:ascii="黑体" w:hAnsi="黑体" w:eastAsia="黑体" w:cs="黑体"/>
          <w:spacing w:val="0"/>
          <w:sz w:val="28"/>
          <w:szCs w:val="28"/>
        </w:rPr>
        <w:t>发展新质生产力</w:t>
      </w:r>
      <w:r>
        <w:rPr>
          <w:rFonts w:hint="eastAsia" w:ascii="黑体" w:hAnsi="黑体" w:eastAsia="黑体" w:cs="黑体"/>
          <w:sz w:val="28"/>
          <w:szCs w:val="28"/>
        </w:rPr>
        <w:tab/>
      </w:r>
      <w:r>
        <w:rPr>
          <w:rFonts w:hint="eastAsia" w:ascii="黑体" w:hAnsi="黑体" w:eastAsia="黑体" w:cs="黑体"/>
          <w:sz w:val="28"/>
          <w:szCs w:val="28"/>
        </w:rPr>
        <w:fldChar w:fldCharType="begin"/>
      </w:r>
      <w:r>
        <w:rPr>
          <w:rFonts w:hint="eastAsia" w:ascii="黑体" w:hAnsi="黑体" w:eastAsia="黑体" w:cs="黑体"/>
          <w:sz w:val="28"/>
          <w:szCs w:val="28"/>
        </w:rPr>
        <w:instrText xml:space="preserve"> PAGEREF _Toc25800 \h </w:instrText>
      </w:r>
      <w:r>
        <w:rPr>
          <w:rFonts w:hint="eastAsia" w:ascii="黑体" w:hAnsi="黑体" w:eastAsia="黑体" w:cs="黑体"/>
          <w:sz w:val="28"/>
          <w:szCs w:val="28"/>
        </w:rPr>
        <w:fldChar w:fldCharType="separate"/>
      </w:r>
      <w:r>
        <w:rPr>
          <w:rFonts w:hint="eastAsia" w:ascii="黑体" w:hAnsi="黑体" w:eastAsia="黑体" w:cs="黑体"/>
          <w:sz w:val="28"/>
          <w:szCs w:val="28"/>
        </w:rPr>
        <w:t>20</w:t>
      </w:r>
      <w:r>
        <w:rPr>
          <w:rFonts w:hint="eastAsia" w:ascii="黑体" w:hAnsi="黑体" w:eastAsia="黑体" w:cs="黑体"/>
          <w:sz w:val="28"/>
          <w:szCs w:val="28"/>
        </w:rPr>
        <w:fldChar w:fldCharType="end"/>
      </w:r>
      <w:r>
        <w:rPr>
          <w:rFonts w:hint="eastAsia" w:ascii="黑体" w:hAnsi="黑体" w:eastAsia="黑体" w:cs="黑体"/>
          <w:sz w:val="28"/>
          <w:szCs w:val="28"/>
        </w:rPr>
        <w:fldChar w:fldCharType="end"/>
      </w:r>
    </w:p>
    <w:p w14:paraId="783C03AF">
      <w:pPr>
        <w:pStyle w:val="19"/>
        <w:keepNext w:val="0"/>
        <w:keepLines w:val="0"/>
        <w:pageBreakBefore w:val="0"/>
        <w:widowControl w:val="0"/>
        <w:tabs>
          <w:tab w:val="right" w:leader="dot" w:pos="8845"/>
        </w:tabs>
        <w:kinsoku/>
        <w:wordWrap/>
        <w:overflowPunct/>
        <w:topLinePunct w:val="0"/>
        <w:autoSpaceDE/>
        <w:autoSpaceDN/>
        <w:bidi w:val="0"/>
        <w:adjustRightInd/>
        <w:snapToGrid/>
        <w:spacing w:line="500" w:lineRule="exact"/>
        <w:textAlignment w:val="auto"/>
        <w:rPr>
          <w:sz w:val="28"/>
          <w:szCs w:val="28"/>
        </w:rPr>
      </w:pPr>
      <w:r>
        <w:rPr>
          <w:rFonts w:hint="eastAsia" w:ascii="楷体_GB2312" w:hAnsi="楷体_GB2312" w:eastAsia="楷体_GB2312" w:cs="楷体_GB2312"/>
          <w:sz w:val="28"/>
          <w:szCs w:val="28"/>
        </w:rPr>
        <w:fldChar w:fldCharType="begin"/>
      </w:r>
      <w:r>
        <w:rPr>
          <w:rFonts w:hint="eastAsia" w:ascii="楷体_GB2312" w:hAnsi="楷体_GB2312" w:eastAsia="楷体_GB2312" w:cs="楷体_GB2312"/>
          <w:sz w:val="28"/>
          <w:szCs w:val="28"/>
        </w:rPr>
        <w:instrText xml:space="preserve"> HYPERLINK \l _Toc21612 </w:instrText>
      </w:r>
      <w:r>
        <w:rPr>
          <w:rFonts w:hint="eastAsia" w:ascii="楷体_GB2312" w:hAnsi="楷体_GB2312" w:eastAsia="楷体_GB2312" w:cs="楷体_GB2312"/>
          <w:sz w:val="28"/>
          <w:szCs w:val="28"/>
        </w:rPr>
        <w:fldChar w:fldCharType="separate"/>
      </w:r>
      <w:r>
        <w:rPr>
          <w:rFonts w:ascii="楷体_GB2312" w:hAnsi="楷体_GB2312" w:eastAsia="楷体_GB2312" w:cs="楷体_GB2312"/>
          <w:spacing w:val="0"/>
          <w:kern w:val="21"/>
          <w:sz w:val="28"/>
          <w:szCs w:val="28"/>
          <w:highlight w:val="none"/>
        </w:rPr>
        <w:t>第</w:t>
      </w:r>
      <w:r>
        <w:rPr>
          <w:rFonts w:hint="eastAsia" w:ascii="楷体_GB2312" w:hAnsi="楷体_GB2312" w:eastAsia="楷体_GB2312" w:cs="楷体_GB2312"/>
          <w:spacing w:val="0"/>
          <w:kern w:val="21"/>
          <w:sz w:val="28"/>
          <w:szCs w:val="28"/>
          <w:highlight w:val="none"/>
          <w:lang w:eastAsia="zh-CN"/>
        </w:rPr>
        <w:t>一</w:t>
      </w:r>
      <w:r>
        <w:rPr>
          <w:rFonts w:ascii="楷体_GB2312" w:hAnsi="楷体_GB2312" w:eastAsia="楷体_GB2312" w:cs="楷体_GB2312"/>
          <w:spacing w:val="0"/>
          <w:kern w:val="21"/>
          <w:sz w:val="28"/>
          <w:szCs w:val="28"/>
          <w:highlight w:val="none"/>
        </w:rPr>
        <w:t>节</w:t>
      </w:r>
      <w:r>
        <w:rPr>
          <w:rFonts w:hint="eastAsia" w:ascii="楷体_GB2312" w:hAnsi="楷体_GB2312" w:eastAsia="楷体_GB2312" w:cs="楷体_GB2312"/>
          <w:spacing w:val="0"/>
          <w:kern w:val="21"/>
          <w:sz w:val="28"/>
          <w:szCs w:val="28"/>
          <w:highlight w:val="none"/>
          <w:lang w:val="en-US" w:eastAsia="zh-CN"/>
        </w:rPr>
        <w:t xml:space="preserve"> </w:t>
      </w:r>
      <w:r>
        <w:rPr>
          <w:rFonts w:ascii="楷体_GB2312" w:hAnsi="楷体_GB2312" w:eastAsia="楷体_GB2312" w:cs="楷体_GB2312"/>
          <w:spacing w:val="0"/>
          <w:kern w:val="21"/>
          <w:sz w:val="28"/>
          <w:szCs w:val="28"/>
          <w:highlight w:val="none"/>
        </w:rPr>
        <w:t xml:space="preserve"> </w:t>
      </w:r>
      <w:r>
        <w:rPr>
          <w:rFonts w:hint="eastAsia" w:ascii="楷体_GB2312" w:hAnsi="楷体_GB2312" w:eastAsia="楷体_GB2312" w:cs="楷体_GB2312"/>
          <w:spacing w:val="0"/>
          <w:kern w:val="21"/>
          <w:sz w:val="28"/>
          <w:szCs w:val="28"/>
          <w:highlight w:val="none"/>
          <w:lang w:eastAsia="zh-CN"/>
        </w:rPr>
        <w:t>全面增强自主创新能力</w:t>
      </w:r>
      <w:r>
        <w:rPr>
          <w:rFonts w:hint="eastAsia" w:ascii="楷体_GB2312" w:hAnsi="楷体_GB2312" w:eastAsia="楷体_GB2312" w:cs="楷体_GB2312"/>
          <w:sz w:val="28"/>
          <w:szCs w:val="28"/>
        </w:rPr>
        <w:tab/>
      </w:r>
      <w:r>
        <w:rPr>
          <w:rFonts w:hint="eastAsia" w:ascii="楷体_GB2312" w:hAnsi="楷体_GB2312" w:eastAsia="楷体_GB2312" w:cs="楷体_GB2312"/>
          <w:sz w:val="28"/>
          <w:szCs w:val="28"/>
        </w:rPr>
        <w:fldChar w:fldCharType="begin"/>
      </w:r>
      <w:r>
        <w:rPr>
          <w:rFonts w:hint="eastAsia" w:ascii="楷体_GB2312" w:hAnsi="楷体_GB2312" w:eastAsia="楷体_GB2312" w:cs="楷体_GB2312"/>
          <w:sz w:val="28"/>
          <w:szCs w:val="28"/>
        </w:rPr>
        <w:instrText xml:space="preserve"> PAGEREF _Toc21612 \h </w:instrText>
      </w:r>
      <w:r>
        <w:rPr>
          <w:rFonts w:hint="eastAsia" w:ascii="楷体_GB2312" w:hAnsi="楷体_GB2312" w:eastAsia="楷体_GB2312" w:cs="楷体_GB2312"/>
          <w:sz w:val="28"/>
          <w:szCs w:val="28"/>
        </w:rPr>
        <w:fldChar w:fldCharType="separate"/>
      </w:r>
      <w:r>
        <w:rPr>
          <w:rFonts w:hint="eastAsia" w:ascii="楷体_GB2312" w:hAnsi="楷体_GB2312" w:eastAsia="楷体_GB2312" w:cs="楷体_GB2312"/>
          <w:sz w:val="28"/>
          <w:szCs w:val="28"/>
        </w:rPr>
        <w:t>20</w:t>
      </w:r>
      <w:r>
        <w:rPr>
          <w:rFonts w:hint="eastAsia" w:ascii="楷体_GB2312" w:hAnsi="楷体_GB2312" w:eastAsia="楷体_GB2312" w:cs="楷体_GB2312"/>
          <w:sz w:val="28"/>
          <w:szCs w:val="28"/>
        </w:rPr>
        <w:fldChar w:fldCharType="end"/>
      </w:r>
      <w:r>
        <w:rPr>
          <w:rFonts w:hint="eastAsia" w:ascii="楷体_GB2312" w:hAnsi="楷体_GB2312" w:eastAsia="楷体_GB2312" w:cs="楷体_GB2312"/>
          <w:sz w:val="28"/>
          <w:szCs w:val="28"/>
        </w:rPr>
        <w:fldChar w:fldCharType="end"/>
      </w:r>
    </w:p>
    <w:p w14:paraId="4C7213DE">
      <w:pPr>
        <w:pStyle w:val="19"/>
        <w:keepNext w:val="0"/>
        <w:keepLines w:val="0"/>
        <w:pageBreakBefore w:val="0"/>
        <w:widowControl w:val="0"/>
        <w:tabs>
          <w:tab w:val="right" w:leader="dot" w:pos="8845"/>
        </w:tabs>
        <w:kinsoku/>
        <w:wordWrap/>
        <w:overflowPunct/>
        <w:topLinePunct w:val="0"/>
        <w:autoSpaceDE/>
        <w:autoSpaceDN/>
        <w:bidi w:val="0"/>
        <w:adjustRightInd/>
        <w:snapToGrid/>
        <w:spacing w:line="500" w:lineRule="exact"/>
        <w:textAlignment w:val="auto"/>
        <w:rPr>
          <w:sz w:val="28"/>
          <w:szCs w:val="28"/>
        </w:rPr>
      </w:pPr>
      <w:r>
        <w:rPr>
          <w:rFonts w:hint="eastAsia" w:ascii="楷体_GB2312" w:hAnsi="楷体_GB2312" w:eastAsia="楷体_GB2312" w:cs="楷体_GB2312"/>
          <w:sz w:val="28"/>
          <w:szCs w:val="28"/>
        </w:rPr>
        <w:fldChar w:fldCharType="begin"/>
      </w:r>
      <w:r>
        <w:rPr>
          <w:rFonts w:hint="eastAsia" w:ascii="楷体_GB2312" w:hAnsi="楷体_GB2312" w:eastAsia="楷体_GB2312" w:cs="楷体_GB2312"/>
          <w:sz w:val="28"/>
          <w:szCs w:val="28"/>
        </w:rPr>
        <w:instrText xml:space="preserve"> HYPERLINK \l _Toc4627 </w:instrText>
      </w:r>
      <w:r>
        <w:rPr>
          <w:rFonts w:hint="eastAsia" w:ascii="楷体_GB2312" w:hAnsi="楷体_GB2312" w:eastAsia="楷体_GB2312" w:cs="楷体_GB2312"/>
          <w:sz w:val="28"/>
          <w:szCs w:val="28"/>
        </w:rPr>
        <w:fldChar w:fldCharType="separate"/>
      </w:r>
      <w:r>
        <w:rPr>
          <w:rFonts w:hint="eastAsia" w:ascii="楷体_GB2312" w:hAnsi="楷体_GB2312" w:eastAsia="楷体_GB2312" w:cs="楷体_GB2312"/>
          <w:spacing w:val="0"/>
          <w:sz w:val="28"/>
          <w:szCs w:val="28"/>
        </w:rPr>
        <w:t>第</w:t>
      </w:r>
      <w:r>
        <w:rPr>
          <w:rFonts w:hint="eastAsia" w:ascii="楷体_GB2312" w:hAnsi="楷体_GB2312" w:eastAsia="楷体_GB2312" w:cs="楷体_GB2312"/>
          <w:spacing w:val="0"/>
          <w:sz w:val="28"/>
          <w:szCs w:val="28"/>
          <w:lang w:eastAsia="zh-CN"/>
        </w:rPr>
        <w:t>二</w:t>
      </w:r>
      <w:r>
        <w:rPr>
          <w:rFonts w:hint="eastAsia" w:ascii="楷体_GB2312" w:hAnsi="楷体_GB2312" w:eastAsia="楷体_GB2312" w:cs="楷体_GB2312"/>
          <w:spacing w:val="0"/>
          <w:sz w:val="28"/>
          <w:szCs w:val="28"/>
        </w:rPr>
        <w:t>节</w:t>
      </w:r>
      <w:r>
        <w:rPr>
          <w:rFonts w:hint="eastAsia" w:ascii="楷体_GB2312" w:hAnsi="楷体_GB2312" w:eastAsia="楷体_GB2312" w:cs="楷体_GB2312"/>
          <w:spacing w:val="0"/>
          <w:sz w:val="28"/>
          <w:szCs w:val="28"/>
          <w:lang w:val="en-US" w:eastAsia="zh-CN"/>
        </w:rPr>
        <w:t xml:space="preserve"> </w:t>
      </w:r>
      <w:r>
        <w:rPr>
          <w:rFonts w:hint="eastAsia" w:ascii="楷体_GB2312" w:hAnsi="楷体_GB2312" w:eastAsia="楷体_GB2312" w:cs="楷体_GB2312"/>
          <w:spacing w:val="0"/>
          <w:sz w:val="28"/>
          <w:szCs w:val="28"/>
        </w:rPr>
        <w:t xml:space="preserve"> </w:t>
      </w:r>
      <w:r>
        <w:rPr>
          <w:rFonts w:hint="eastAsia" w:ascii="楷体_GB2312" w:hAnsi="楷体_GB2312" w:eastAsia="楷体_GB2312" w:cs="楷体_GB2312"/>
          <w:spacing w:val="0"/>
          <w:sz w:val="28"/>
          <w:szCs w:val="28"/>
          <w:lang w:eastAsia="zh-CN"/>
        </w:rPr>
        <w:t>持续优化创新生态</w:t>
      </w:r>
      <w:r>
        <w:rPr>
          <w:rFonts w:hint="eastAsia" w:ascii="楷体_GB2312" w:hAnsi="楷体_GB2312" w:eastAsia="楷体_GB2312" w:cs="楷体_GB2312"/>
          <w:sz w:val="28"/>
          <w:szCs w:val="28"/>
        </w:rPr>
        <w:tab/>
      </w:r>
      <w:r>
        <w:rPr>
          <w:rFonts w:hint="eastAsia" w:ascii="楷体_GB2312" w:hAnsi="楷体_GB2312" w:eastAsia="楷体_GB2312" w:cs="楷体_GB2312"/>
          <w:sz w:val="28"/>
          <w:szCs w:val="28"/>
        </w:rPr>
        <w:fldChar w:fldCharType="begin"/>
      </w:r>
      <w:r>
        <w:rPr>
          <w:rFonts w:hint="eastAsia" w:ascii="楷体_GB2312" w:hAnsi="楷体_GB2312" w:eastAsia="楷体_GB2312" w:cs="楷体_GB2312"/>
          <w:sz w:val="28"/>
          <w:szCs w:val="28"/>
        </w:rPr>
        <w:instrText xml:space="preserve"> PAGEREF _Toc4627 \h </w:instrText>
      </w:r>
      <w:r>
        <w:rPr>
          <w:rFonts w:hint="eastAsia" w:ascii="楷体_GB2312" w:hAnsi="楷体_GB2312" w:eastAsia="楷体_GB2312" w:cs="楷体_GB2312"/>
          <w:sz w:val="28"/>
          <w:szCs w:val="28"/>
        </w:rPr>
        <w:fldChar w:fldCharType="separate"/>
      </w:r>
      <w:r>
        <w:rPr>
          <w:rFonts w:hint="eastAsia" w:ascii="楷体_GB2312" w:hAnsi="楷体_GB2312" w:eastAsia="楷体_GB2312" w:cs="楷体_GB2312"/>
          <w:sz w:val="28"/>
          <w:szCs w:val="28"/>
        </w:rPr>
        <w:t>21</w:t>
      </w:r>
      <w:r>
        <w:rPr>
          <w:rFonts w:hint="eastAsia" w:ascii="楷体_GB2312" w:hAnsi="楷体_GB2312" w:eastAsia="楷体_GB2312" w:cs="楷体_GB2312"/>
          <w:sz w:val="28"/>
          <w:szCs w:val="28"/>
        </w:rPr>
        <w:fldChar w:fldCharType="end"/>
      </w:r>
      <w:r>
        <w:rPr>
          <w:rFonts w:hint="eastAsia" w:ascii="楷体_GB2312" w:hAnsi="楷体_GB2312" w:eastAsia="楷体_GB2312" w:cs="楷体_GB2312"/>
          <w:sz w:val="28"/>
          <w:szCs w:val="28"/>
        </w:rPr>
        <w:fldChar w:fldCharType="end"/>
      </w:r>
    </w:p>
    <w:p w14:paraId="09817322">
      <w:pPr>
        <w:pStyle w:val="17"/>
        <w:keepNext w:val="0"/>
        <w:keepLines w:val="0"/>
        <w:pageBreakBefore w:val="0"/>
        <w:widowControl w:val="0"/>
        <w:tabs>
          <w:tab w:val="right" w:leader="dot" w:pos="8845"/>
        </w:tabs>
        <w:kinsoku/>
        <w:wordWrap/>
        <w:overflowPunct/>
        <w:topLinePunct w:val="0"/>
        <w:autoSpaceDE/>
        <w:autoSpaceDN/>
        <w:bidi w:val="0"/>
        <w:adjustRightInd/>
        <w:snapToGrid/>
        <w:spacing w:line="500" w:lineRule="exact"/>
        <w:textAlignment w:val="auto"/>
        <w:rPr>
          <w:rFonts w:hint="eastAsia" w:ascii="黑体" w:hAnsi="黑体" w:eastAsia="黑体" w:cs="黑体"/>
          <w:sz w:val="28"/>
          <w:szCs w:val="28"/>
        </w:rPr>
      </w:pPr>
      <w:r>
        <w:rPr>
          <w:rFonts w:hint="eastAsia" w:ascii="黑体" w:hAnsi="黑体" w:eastAsia="黑体" w:cs="黑体"/>
          <w:sz w:val="28"/>
          <w:szCs w:val="28"/>
        </w:rPr>
        <w:fldChar w:fldCharType="begin"/>
      </w:r>
      <w:r>
        <w:rPr>
          <w:rFonts w:hint="eastAsia" w:ascii="黑体" w:hAnsi="黑体" w:eastAsia="黑体" w:cs="黑体"/>
          <w:sz w:val="28"/>
          <w:szCs w:val="28"/>
        </w:rPr>
        <w:instrText xml:space="preserve"> HYPERLINK \l _Toc12716 </w:instrText>
      </w:r>
      <w:r>
        <w:rPr>
          <w:rFonts w:hint="eastAsia" w:ascii="黑体" w:hAnsi="黑体" w:eastAsia="黑体" w:cs="黑体"/>
          <w:sz w:val="28"/>
          <w:szCs w:val="28"/>
        </w:rPr>
        <w:fldChar w:fldCharType="separate"/>
      </w:r>
      <w:r>
        <w:rPr>
          <w:rFonts w:hint="eastAsia" w:ascii="黑体" w:hAnsi="黑体" w:eastAsia="黑体" w:cs="黑体"/>
          <w:spacing w:val="0"/>
          <w:kern w:val="2"/>
          <w:sz w:val="28"/>
          <w:szCs w:val="28"/>
        </w:rPr>
        <w:t>第</w:t>
      </w:r>
      <w:r>
        <w:rPr>
          <w:rFonts w:hint="eastAsia" w:ascii="黑体" w:hAnsi="黑体" w:eastAsia="黑体" w:cs="黑体"/>
          <w:spacing w:val="0"/>
          <w:kern w:val="2"/>
          <w:sz w:val="28"/>
          <w:szCs w:val="28"/>
          <w:lang w:eastAsia="zh-CN"/>
        </w:rPr>
        <w:t>五</w:t>
      </w:r>
      <w:r>
        <w:rPr>
          <w:rFonts w:hint="eastAsia" w:ascii="黑体" w:hAnsi="黑体" w:eastAsia="黑体" w:cs="黑体"/>
          <w:spacing w:val="0"/>
          <w:kern w:val="2"/>
          <w:sz w:val="28"/>
          <w:szCs w:val="28"/>
        </w:rPr>
        <w:t xml:space="preserve">章  </w:t>
      </w:r>
      <w:r>
        <w:rPr>
          <w:rFonts w:hint="eastAsia" w:ascii="黑体" w:hAnsi="黑体" w:eastAsia="黑体" w:cs="黑体"/>
          <w:spacing w:val="0"/>
          <w:kern w:val="2"/>
          <w:sz w:val="28"/>
          <w:szCs w:val="28"/>
          <w:lang w:val="en-US" w:eastAsia="zh-CN"/>
        </w:rPr>
        <w:t>深入践行</w:t>
      </w:r>
      <w:r>
        <w:rPr>
          <w:rFonts w:hint="eastAsia" w:ascii="黑体" w:hAnsi="黑体" w:eastAsia="黑体" w:cs="黑体"/>
          <w:spacing w:val="0"/>
          <w:kern w:val="2"/>
          <w:sz w:val="28"/>
          <w:szCs w:val="28"/>
        </w:rPr>
        <w:t>长三角一体化发展国家战略，推动</w:t>
      </w:r>
      <w:r>
        <w:rPr>
          <w:rFonts w:hint="eastAsia" w:ascii="黑体" w:hAnsi="黑体" w:eastAsia="黑体" w:cs="黑体"/>
          <w:spacing w:val="0"/>
          <w:kern w:val="2"/>
          <w:sz w:val="28"/>
          <w:szCs w:val="28"/>
          <w:lang w:eastAsia="zh-CN"/>
        </w:rPr>
        <w:t>区域</w:t>
      </w:r>
      <w:r>
        <w:rPr>
          <w:rFonts w:hint="eastAsia" w:ascii="黑体" w:hAnsi="黑体" w:eastAsia="黑体" w:cs="黑体"/>
          <w:spacing w:val="0"/>
          <w:kern w:val="2"/>
          <w:sz w:val="28"/>
          <w:szCs w:val="28"/>
        </w:rPr>
        <w:t>功能跃升</w:t>
      </w:r>
      <w:r>
        <w:rPr>
          <w:rFonts w:hint="eastAsia" w:ascii="黑体" w:hAnsi="黑体" w:eastAsia="黑体" w:cs="黑体"/>
          <w:sz w:val="28"/>
          <w:szCs w:val="28"/>
        </w:rPr>
        <w:tab/>
      </w:r>
      <w:r>
        <w:rPr>
          <w:rFonts w:hint="eastAsia" w:ascii="黑体" w:hAnsi="黑体" w:eastAsia="黑体" w:cs="黑体"/>
          <w:sz w:val="28"/>
          <w:szCs w:val="28"/>
        </w:rPr>
        <w:fldChar w:fldCharType="begin"/>
      </w:r>
      <w:r>
        <w:rPr>
          <w:rFonts w:hint="eastAsia" w:ascii="黑体" w:hAnsi="黑体" w:eastAsia="黑体" w:cs="黑体"/>
          <w:sz w:val="28"/>
          <w:szCs w:val="28"/>
        </w:rPr>
        <w:instrText xml:space="preserve"> PAGEREF _Toc12716 \h </w:instrText>
      </w:r>
      <w:r>
        <w:rPr>
          <w:rFonts w:hint="eastAsia" w:ascii="黑体" w:hAnsi="黑体" w:eastAsia="黑体" w:cs="黑体"/>
          <w:sz w:val="28"/>
          <w:szCs w:val="28"/>
        </w:rPr>
        <w:fldChar w:fldCharType="separate"/>
      </w:r>
      <w:r>
        <w:rPr>
          <w:rFonts w:hint="eastAsia" w:ascii="黑体" w:hAnsi="黑体" w:eastAsia="黑体" w:cs="黑体"/>
          <w:sz w:val="28"/>
          <w:szCs w:val="28"/>
        </w:rPr>
        <w:t>23</w:t>
      </w:r>
      <w:r>
        <w:rPr>
          <w:rFonts w:hint="eastAsia" w:ascii="黑体" w:hAnsi="黑体" w:eastAsia="黑体" w:cs="黑体"/>
          <w:sz w:val="28"/>
          <w:szCs w:val="28"/>
        </w:rPr>
        <w:fldChar w:fldCharType="end"/>
      </w:r>
      <w:r>
        <w:rPr>
          <w:rFonts w:hint="eastAsia" w:ascii="黑体" w:hAnsi="黑体" w:eastAsia="黑体" w:cs="黑体"/>
          <w:sz w:val="28"/>
          <w:szCs w:val="28"/>
        </w:rPr>
        <w:fldChar w:fldCharType="end"/>
      </w:r>
    </w:p>
    <w:p w14:paraId="74BB6F5F">
      <w:pPr>
        <w:pStyle w:val="19"/>
        <w:keepNext w:val="0"/>
        <w:keepLines w:val="0"/>
        <w:pageBreakBefore w:val="0"/>
        <w:widowControl w:val="0"/>
        <w:tabs>
          <w:tab w:val="right" w:leader="dot" w:pos="8845"/>
        </w:tabs>
        <w:kinsoku/>
        <w:wordWrap/>
        <w:overflowPunct/>
        <w:topLinePunct w:val="0"/>
        <w:autoSpaceDE/>
        <w:autoSpaceDN/>
        <w:bidi w:val="0"/>
        <w:adjustRightInd/>
        <w:snapToGrid/>
        <w:spacing w:line="500" w:lineRule="exact"/>
        <w:textAlignment w:val="auto"/>
        <w:rPr>
          <w:sz w:val="28"/>
          <w:szCs w:val="28"/>
        </w:rPr>
      </w:pPr>
      <w:r>
        <w:rPr>
          <w:rFonts w:hint="eastAsia" w:ascii="楷体_GB2312" w:hAnsi="楷体_GB2312" w:eastAsia="楷体_GB2312" w:cs="楷体_GB2312"/>
          <w:sz w:val="28"/>
          <w:szCs w:val="28"/>
        </w:rPr>
        <w:fldChar w:fldCharType="begin"/>
      </w:r>
      <w:r>
        <w:rPr>
          <w:rFonts w:hint="eastAsia" w:ascii="楷体_GB2312" w:hAnsi="楷体_GB2312" w:eastAsia="楷体_GB2312" w:cs="楷体_GB2312"/>
          <w:sz w:val="28"/>
          <w:szCs w:val="28"/>
        </w:rPr>
        <w:instrText xml:space="preserve"> HYPERLINK \l _Toc5755 </w:instrText>
      </w:r>
      <w:r>
        <w:rPr>
          <w:rFonts w:hint="eastAsia" w:ascii="楷体_GB2312" w:hAnsi="楷体_GB2312" w:eastAsia="楷体_GB2312" w:cs="楷体_GB2312"/>
          <w:sz w:val="28"/>
          <w:szCs w:val="28"/>
        </w:rPr>
        <w:fldChar w:fldCharType="separate"/>
      </w:r>
      <w:r>
        <w:rPr>
          <w:rFonts w:ascii="楷体_GB2312" w:hAnsi="楷体_GB2312" w:eastAsia="楷体_GB2312" w:cs="楷体_GB2312"/>
          <w:spacing w:val="0"/>
          <w:kern w:val="21"/>
          <w:sz w:val="28"/>
          <w:szCs w:val="28"/>
        </w:rPr>
        <w:t>第一节</w:t>
      </w:r>
      <w:r>
        <w:rPr>
          <w:rFonts w:hint="eastAsia" w:ascii="楷体_GB2312" w:hAnsi="楷体_GB2312" w:eastAsia="楷体_GB2312" w:cs="楷体_GB2312"/>
          <w:spacing w:val="0"/>
          <w:kern w:val="21"/>
          <w:sz w:val="28"/>
          <w:szCs w:val="28"/>
          <w:lang w:val="en-US" w:eastAsia="zh-CN"/>
        </w:rPr>
        <w:t xml:space="preserve"> </w:t>
      </w:r>
      <w:r>
        <w:rPr>
          <w:rFonts w:ascii="楷体_GB2312" w:hAnsi="楷体_GB2312" w:eastAsia="楷体_GB2312" w:cs="楷体_GB2312"/>
          <w:spacing w:val="0"/>
          <w:kern w:val="21"/>
          <w:sz w:val="28"/>
          <w:szCs w:val="28"/>
        </w:rPr>
        <w:t xml:space="preserve"> 提升先行启动区显示度</w:t>
      </w:r>
      <w:r>
        <w:rPr>
          <w:rFonts w:hint="eastAsia" w:ascii="楷体_GB2312" w:hAnsi="楷体_GB2312" w:eastAsia="楷体_GB2312" w:cs="楷体_GB2312"/>
          <w:sz w:val="28"/>
          <w:szCs w:val="28"/>
        </w:rPr>
        <w:tab/>
      </w:r>
      <w:r>
        <w:rPr>
          <w:rFonts w:hint="eastAsia" w:ascii="楷体_GB2312" w:hAnsi="楷体_GB2312" w:eastAsia="楷体_GB2312" w:cs="楷体_GB2312"/>
          <w:sz w:val="28"/>
          <w:szCs w:val="28"/>
        </w:rPr>
        <w:fldChar w:fldCharType="begin"/>
      </w:r>
      <w:r>
        <w:rPr>
          <w:rFonts w:hint="eastAsia" w:ascii="楷体_GB2312" w:hAnsi="楷体_GB2312" w:eastAsia="楷体_GB2312" w:cs="楷体_GB2312"/>
          <w:sz w:val="28"/>
          <w:szCs w:val="28"/>
        </w:rPr>
        <w:instrText xml:space="preserve"> PAGEREF _Toc5755 \h </w:instrText>
      </w:r>
      <w:r>
        <w:rPr>
          <w:rFonts w:hint="eastAsia" w:ascii="楷体_GB2312" w:hAnsi="楷体_GB2312" w:eastAsia="楷体_GB2312" w:cs="楷体_GB2312"/>
          <w:sz w:val="28"/>
          <w:szCs w:val="28"/>
        </w:rPr>
        <w:fldChar w:fldCharType="separate"/>
      </w:r>
      <w:r>
        <w:rPr>
          <w:rFonts w:hint="eastAsia" w:ascii="楷体_GB2312" w:hAnsi="楷体_GB2312" w:eastAsia="楷体_GB2312" w:cs="楷体_GB2312"/>
          <w:sz w:val="28"/>
          <w:szCs w:val="28"/>
        </w:rPr>
        <w:t>23</w:t>
      </w:r>
      <w:r>
        <w:rPr>
          <w:rFonts w:hint="eastAsia" w:ascii="楷体_GB2312" w:hAnsi="楷体_GB2312" w:eastAsia="楷体_GB2312" w:cs="楷体_GB2312"/>
          <w:sz w:val="28"/>
          <w:szCs w:val="28"/>
        </w:rPr>
        <w:fldChar w:fldCharType="end"/>
      </w:r>
      <w:r>
        <w:rPr>
          <w:rFonts w:hint="eastAsia" w:ascii="楷体_GB2312" w:hAnsi="楷体_GB2312" w:eastAsia="楷体_GB2312" w:cs="楷体_GB2312"/>
          <w:sz w:val="28"/>
          <w:szCs w:val="28"/>
        </w:rPr>
        <w:fldChar w:fldCharType="end"/>
      </w:r>
    </w:p>
    <w:p w14:paraId="4C2B030D">
      <w:pPr>
        <w:pStyle w:val="19"/>
        <w:keepNext w:val="0"/>
        <w:keepLines w:val="0"/>
        <w:pageBreakBefore w:val="0"/>
        <w:widowControl w:val="0"/>
        <w:tabs>
          <w:tab w:val="right" w:leader="dot" w:pos="8845"/>
        </w:tabs>
        <w:kinsoku/>
        <w:wordWrap/>
        <w:overflowPunct/>
        <w:topLinePunct w:val="0"/>
        <w:autoSpaceDE/>
        <w:autoSpaceDN/>
        <w:bidi w:val="0"/>
        <w:adjustRightInd/>
        <w:snapToGrid/>
        <w:spacing w:line="500" w:lineRule="exact"/>
        <w:textAlignment w:val="auto"/>
        <w:rPr>
          <w:sz w:val="28"/>
          <w:szCs w:val="28"/>
        </w:rPr>
      </w:pPr>
      <w:r>
        <w:rPr>
          <w:rFonts w:hint="eastAsia" w:ascii="楷体_GB2312" w:hAnsi="楷体_GB2312" w:eastAsia="楷体_GB2312" w:cs="楷体_GB2312"/>
          <w:sz w:val="28"/>
          <w:szCs w:val="28"/>
        </w:rPr>
        <w:fldChar w:fldCharType="begin"/>
      </w:r>
      <w:r>
        <w:rPr>
          <w:rFonts w:hint="eastAsia" w:ascii="楷体_GB2312" w:hAnsi="楷体_GB2312" w:eastAsia="楷体_GB2312" w:cs="楷体_GB2312"/>
          <w:sz w:val="28"/>
          <w:szCs w:val="28"/>
        </w:rPr>
        <w:instrText xml:space="preserve"> HYPERLINK \l _Toc6201 </w:instrText>
      </w:r>
      <w:r>
        <w:rPr>
          <w:rFonts w:hint="eastAsia" w:ascii="楷体_GB2312" w:hAnsi="楷体_GB2312" w:eastAsia="楷体_GB2312" w:cs="楷体_GB2312"/>
          <w:sz w:val="28"/>
          <w:szCs w:val="28"/>
        </w:rPr>
        <w:fldChar w:fldCharType="separate"/>
      </w:r>
      <w:r>
        <w:rPr>
          <w:rFonts w:ascii="楷体_GB2312" w:hAnsi="楷体_GB2312" w:eastAsia="楷体_GB2312" w:cs="楷体_GB2312"/>
          <w:spacing w:val="0"/>
          <w:kern w:val="21"/>
          <w:sz w:val="28"/>
          <w:szCs w:val="28"/>
        </w:rPr>
        <w:t>第</w:t>
      </w:r>
      <w:r>
        <w:rPr>
          <w:rFonts w:hint="eastAsia" w:ascii="楷体_GB2312" w:hAnsi="楷体_GB2312" w:eastAsia="楷体_GB2312" w:cs="楷体_GB2312"/>
          <w:spacing w:val="0"/>
          <w:kern w:val="21"/>
          <w:sz w:val="28"/>
          <w:szCs w:val="28"/>
          <w:lang w:eastAsia="zh-CN"/>
        </w:rPr>
        <w:t>二</w:t>
      </w:r>
      <w:r>
        <w:rPr>
          <w:rFonts w:ascii="楷体_GB2312" w:hAnsi="楷体_GB2312" w:eastAsia="楷体_GB2312" w:cs="楷体_GB2312"/>
          <w:spacing w:val="0"/>
          <w:kern w:val="21"/>
          <w:sz w:val="28"/>
          <w:szCs w:val="28"/>
        </w:rPr>
        <w:t>节</w:t>
      </w:r>
      <w:r>
        <w:rPr>
          <w:rFonts w:hint="eastAsia" w:ascii="楷体_GB2312" w:hAnsi="楷体_GB2312" w:eastAsia="楷体_GB2312" w:cs="楷体_GB2312"/>
          <w:spacing w:val="0"/>
          <w:kern w:val="21"/>
          <w:sz w:val="28"/>
          <w:szCs w:val="28"/>
          <w:lang w:val="en-US" w:eastAsia="zh-CN"/>
        </w:rPr>
        <w:t xml:space="preserve"> </w:t>
      </w:r>
      <w:r>
        <w:rPr>
          <w:rFonts w:ascii="楷体_GB2312" w:hAnsi="楷体_GB2312" w:eastAsia="楷体_GB2312" w:cs="楷体_GB2312"/>
          <w:spacing w:val="0"/>
          <w:kern w:val="21"/>
          <w:sz w:val="28"/>
          <w:szCs w:val="28"/>
        </w:rPr>
        <w:t xml:space="preserve"> 纵深推进跨域协同发展</w:t>
      </w:r>
      <w:r>
        <w:rPr>
          <w:rFonts w:hint="eastAsia" w:ascii="楷体_GB2312" w:hAnsi="楷体_GB2312" w:eastAsia="楷体_GB2312" w:cs="楷体_GB2312"/>
          <w:sz w:val="28"/>
          <w:szCs w:val="28"/>
        </w:rPr>
        <w:tab/>
      </w:r>
      <w:r>
        <w:rPr>
          <w:rFonts w:hint="eastAsia" w:ascii="楷体_GB2312" w:hAnsi="楷体_GB2312" w:eastAsia="楷体_GB2312" w:cs="楷体_GB2312"/>
          <w:sz w:val="28"/>
          <w:szCs w:val="28"/>
        </w:rPr>
        <w:fldChar w:fldCharType="begin"/>
      </w:r>
      <w:r>
        <w:rPr>
          <w:rFonts w:hint="eastAsia" w:ascii="楷体_GB2312" w:hAnsi="楷体_GB2312" w:eastAsia="楷体_GB2312" w:cs="楷体_GB2312"/>
          <w:sz w:val="28"/>
          <w:szCs w:val="28"/>
        </w:rPr>
        <w:instrText xml:space="preserve"> PAGEREF _Toc6201 \h </w:instrText>
      </w:r>
      <w:r>
        <w:rPr>
          <w:rFonts w:hint="eastAsia" w:ascii="楷体_GB2312" w:hAnsi="楷体_GB2312" w:eastAsia="楷体_GB2312" w:cs="楷体_GB2312"/>
          <w:sz w:val="28"/>
          <w:szCs w:val="28"/>
        </w:rPr>
        <w:fldChar w:fldCharType="separate"/>
      </w:r>
      <w:r>
        <w:rPr>
          <w:rFonts w:hint="eastAsia" w:ascii="楷体_GB2312" w:hAnsi="楷体_GB2312" w:eastAsia="楷体_GB2312" w:cs="楷体_GB2312"/>
          <w:sz w:val="28"/>
          <w:szCs w:val="28"/>
        </w:rPr>
        <w:t>24</w:t>
      </w:r>
      <w:r>
        <w:rPr>
          <w:rFonts w:hint="eastAsia" w:ascii="楷体_GB2312" w:hAnsi="楷体_GB2312" w:eastAsia="楷体_GB2312" w:cs="楷体_GB2312"/>
          <w:sz w:val="28"/>
          <w:szCs w:val="28"/>
        </w:rPr>
        <w:fldChar w:fldCharType="end"/>
      </w:r>
      <w:r>
        <w:rPr>
          <w:rFonts w:hint="eastAsia" w:ascii="楷体_GB2312" w:hAnsi="楷体_GB2312" w:eastAsia="楷体_GB2312" w:cs="楷体_GB2312"/>
          <w:sz w:val="28"/>
          <w:szCs w:val="28"/>
        </w:rPr>
        <w:fldChar w:fldCharType="end"/>
      </w:r>
    </w:p>
    <w:p w14:paraId="11D0596F">
      <w:pPr>
        <w:pStyle w:val="17"/>
        <w:keepNext w:val="0"/>
        <w:keepLines w:val="0"/>
        <w:pageBreakBefore w:val="0"/>
        <w:widowControl w:val="0"/>
        <w:tabs>
          <w:tab w:val="right" w:leader="dot" w:pos="8845"/>
        </w:tabs>
        <w:kinsoku/>
        <w:wordWrap/>
        <w:overflowPunct/>
        <w:topLinePunct w:val="0"/>
        <w:autoSpaceDE/>
        <w:autoSpaceDN/>
        <w:bidi w:val="0"/>
        <w:adjustRightInd/>
        <w:snapToGrid/>
        <w:spacing w:line="500" w:lineRule="exact"/>
        <w:textAlignment w:val="auto"/>
        <w:rPr>
          <w:rFonts w:hint="eastAsia" w:ascii="黑体" w:hAnsi="黑体" w:eastAsia="黑体" w:cs="黑体"/>
          <w:sz w:val="28"/>
          <w:szCs w:val="28"/>
        </w:rPr>
      </w:pPr>
      <w:r>
        <w:rPr>
          <w:rFonts w:hint="eastAsia" w:ascii="黑体" w:hAnsi="黑体" w:eastAsia="黑体" w:cs="黑体"/>
          <w:sz w:val="28"/>
          <w:szCs w:val="28"/>
        </w:rPr>
        <w:fldChar w:fldCharType="begin"/>
      </w:r>
      <w:r>
        <w:rPr>
          <w:rFonts w:hint="eastAsia" w:ascii="黑体" w:hAnsi="黑体" w:eastAsia="黑体" w:cs="黑体"/>
          <w:sz w:val="28"/>
          <w:szCs w:val="28"/>
        </w:rPr>
        <w:instrText xml:space="preserve"> HYPERLINK \l _Toc14098 </w:instrText>
      </w:r>
      <w:r>
        <w:rPr>
          <w:rFonts w:hint="eastAsia" w:ascii="黑体" w:hAnsi="黑体" w:eastAsia="黑体" w:cs="黑体"/>
          <w:sz w:val="28"/>
          <w:szCs w:val="28"/>
        </w:rPr>
        <w:fldChar w:fldCharType="separate"/>
      </w:r>
      <w:r>
        <w:rPr>
          <w:rFonts w:hint="eastAsia" w:ascii="黑体" w:hAnsi="黑体" w:eastAsia="黑体" w:cs="黑体"/>
          <w:spacing w:val="0"/>
          <w:kern w:val="2"/>
          <w:sz w:val="28"/>
          <w:szCs w:val="28"/>
        </w:rPr>
        <w:t>第六章  把握扩大内需战略基点</w:t>
      </w:r>
      <w:r>
        <w:rPr>
          <w:rFonts w:hint="eastAsia" w:ascii="黑体" w:hAnsi="黑体" w:eastAsia="黑体" w:cs="黑体"/>
          <w:spacing w:val="0"/>
          <w:kern w:val="2"/>
          <w:sz w:val="28"/>
          <w:szCs w:val="28"/>
          <w:lang w:eastAsia="zh-CN"/>
        </w:rPr>
        <w:t>，</w:t>
      </w:r>
      <w:r>
        <w:rPr>
          <w:rFonts w:hint="eastAsia" w:ascii="黑体" w:hAnsi="黑体" w:eastAsia="黑体" w:cs="黑体"/>
          <w:spacing w:val="0"/>
          <w:kern w:val="2"/>
          <w:sz w:val="28"/>
          <w:szCs w:val="28"/>
        </w:rPr>
        <w:t>主动服务</w:t>
      </w:r>
      <w:r>
        <w:rPr>
          <w:rFonts w:hint="eastAsia" w:ascii="黑体" w:hAnsi="黑体" w:eastAsia="黑体" w:cs="黑体"/>
          <w:spacing w:val="0"/>
          <w:kern w:val="2"/>
          <w:sz w:val="28"/>
          <w:szCs w:val="28"/>
          <w:lang w:val="en-US" w:eastAsia="zh-CN"/>
        </w:rPr>
        <w:t>构建新发展格局</w:t>
      </w:r>
      <w:r>
        <w:rPr>
          <w:rFonts w:hint="eastAsia" w:ascii="黑体" w:hAnsi="黑体" w:eastAsia="黑体" w:cs="黑体"/>
          <w:sz w:val="28"/>
          <w:szCs w:val="28"/>
        </w:rPr>
        <w:tab/>
      </w:r>
      <w:r>
        <w:rPr>
          <w:rFonts w:hint="eastAsia" w:ascii="黑体" w:hAnsi="黑体" w:eastAsia="黑体" w:cs="黑体"/>
          <w:sz w:val="28"/>
          <w:szCs w:val="28"/>
        </w:rPr>
        <w:fldChar w:fldCharType="begin"/>
      </w:r>
      <w:r>
        <w:rPr>
          <w:rFonts w:hint="eastAsia" w:ascii="黑体" w:hAnsi="黑体" w:eastAsia="黑体" w:cs="黑体"/>
          <w:sz w:val="28"/>
          <w:szCs w:val="28"/>
        </w:rPr>
        <w:instrText xml:space="preserve"> PAGEREF _Toc14098 \h </w:instrText>
      </w:r>
      <w:r>
        <w:rPr>
          <w:rFonts w:hint="eastAsia" w:ascii="黑体" w:hAnsi="黑体" w:eastAsia="黑体" w:cs="黑体"/>
          <w:sz w:val="28"/>
          <w:szCs w:val="28"/>
        </w:rPr>
        <w:fldChar w:fldCharType="separate"/>
      </w:r>
      <w:r>
        <w:rPr>
          <w:rFonts w:hint="eastAsia" w:ascii="黑体" w:hAnsi="黑体" w:eastAsia="黑体" w:cs="黑体"/>
          <w:sz w:val="28"/>
          <w:szCs w:val="28"/>
        </w:rPr>
        <w:t>26</w:t>
      </w:r>
      <w:r>
        <w:rPr>
          <w:rFonts w:hint="eastAsia" w:ascii="黑体" w:hAnsi="黑体" w:eastAsia="黑体" w:cs="黑体"/>
          <w:sz w:val="28"/>
          <w:szCs w:val="28"/>
        </w:rPr>
        <w:fldChar w:fldCharType="end"/>
      </w:r>
      <w:r>
        <w:rPr>
          <w:rFonts w:hint="eastAsia" w:ascii="黑体" w:hAnsi="黑体" w:eastAsia="黑体" w:cs="黑体"/>
          <w:sz w:val="28"/>
          <w:szCs w:val="28"/>
        </w:rPr>
        <w:fldChar w:fldCharType="end"/>
      </w:r>
    </w:p>
    <w:p w14:paraId="38EB45E8">
      <w:pPr>
        <w:pStyle w:val="19"/>
        <w:keepNext w:val="0"/>
        <w:keepLines w:val="0"/>
        <w:pageBreakBefore w:val="0"/>
        <w:widowControl w:val="0"/>
        <w:tabs>
          <w:tab w:val="right" w:leader="dot" w:pos="8845"/>
        </w:tabs>
        <w:kinsoku/>
        <w:wordWrap/>
        <w:overflowPunct/>
        <w:topLinePunct w:val="0"/>
        <w:autoSpaceDE/>
        <w:autoSpaceDN/>
        <w:bidi w:val="0"/>
        <w:adjustRightInd/>
        <w:snapToGrid/>
        <w:spacing w:line="500" w:lineRule="exact"/>
        <w:textAlignment w:val="auto"/>
        <w:rPr>
          <w:sz w:val="28"/>
          <w:szCs w:val="28"/>
        </w:rPr>
      </w:pPr>
      <w:r>
        <w:rPr>
          <w:rFonts w:hint="eastAsia" w:ascii="楷体_GB2312" w:hAnsi="楷体_GB2312" w:eastAsia="楷体_GB2312" w:cs="楷体_GB2312"/>
          <w:sz w:val="28"/>
          <w:szCs w:val="28"/>
        </w:rPr>
        <w:fldChar w:fldCharType="begin"/>
      </w:r>
      <w:r>
        <w:rPr>
          <w:rFonts w:hint="eastAsia" w:ascii="楷体_GB2312" w:hAnsi="楷体_GB2312" w:eastAsia="楷体_GB2312" w:cs="楷体_GB2312"/>
          <w:sz w:val="28"/>
          <w:szCs w:val="28"/>
        </w:rPr>
        <w:instrText xml:space="preserve"> HYPERLINK \l _Toc21224 </w:instrText>
      </w:r>
      <w:r>
        <w:rPr>
          <w:rFonts w:hint="eastAsia" w:ascii="楷体_GB2312" w:hAnsi="楷体_GB2312" w:eastAsia="楷体_GB2312" w:cs="楷体_GB2312"/>
          <w:sz w:val="28"/>
          <w:szCs w:val="28"/>
        </w:rPr>
        <w:fldChar w:fldCharType="separate"/>
      </w:r>
      <w:r>
        <w:rPr>
          <w:rFonts w:ascii="楷体_GB2312" w:hAnsi="楷体_GB2312" w:eastAsia="楷体_GB2312" w:cs="楷体_GB2312"/>
          <w:spacing w:val="0"/>
          <w:kern w:val="21"/>
          <w:sz w:val="28"/>
          <w:szCs w:val="28"/>
        </w:rPr>
        <w:t xml:space="preserve">第一节 </w:t>
      </w:r>
      <w:r>
        <w:rPr>
          <w:rFonts w:hint="eastAsia" w:ascii="楷体_GB2312" w:hAnsi="楷体_GB2312" w:eastAsia="楷体_GB2312" w:cs="楷体_GB2312"/>
          <w:spacing w:val="0"/>
          <w:kern w:val="21"/>
          <w:sz w:val="28"/>
          <w:szCs w:val="28"/>
          <w:lang w:val="en-US" w:eastAsia="zh-CN"/>
        </w:rPr>
        <w:t xml:space="preserve"> </w:t>
      </w:r>
      <w:r>
        <w:rPr>
          <w:rFonts w:hint="eastAsia" w:ascii="楷体_GB2312" w:hAnsi="楷体_GB2312" w:eastAsia="楷体_GB2312" w:cs="楷体_GB2312"/>
          <w:spacing w:val="0"/>
          <w:kern w:val="21"/>
          <w:sz w:val="28"/>
          <w:szCs w:val="28"/>
          <w:lang w:eastAsia="zh-CN"/>
        </w:rPr>
        <w:t>落实</w:t>
      </w:r>
      <w:r>
        <w:rPr>
          <w:rFonts w:ascii="楷体_GB2312" w:hAnsi="楷体_GB2312" w:eastAsia="楷体_GB2312" w:cs="楷体_GB2312"/>
          <w:spacing w:val="0"/>
          <w:kern w:val="21"/>
          <w:sz w:val="28"/>
          <w:szCs w:val="28"/>
        </w:rPr>
        <w:t>扩大内需战略</w:t>
      </w:r>
      <w:r>
        <w:rPr>
          <w:rFonts w:hint="eastAsia" w:ascii="楷体_GB2312" w:hAnsi="楷体_GB2312" w:eastAsia="楷体_GB2312" w:cs="楷体_GB2312"/>
          <w:spacing w:val="0"/>
          <w:kern w:val="21"/>
          <w:sz w:val="28"/>
          <w:szCs w:val="28"/>
          <w:lang w:eastAsia="zh-CN"/>
        </w:rPr>
        <w:t>任务</w:t>
      </w:r>
      <w:r>
        <w:rPr>
          <w:rFonts w:hint="eastAsia" w:ascii="楷体_GB2312" w:hAnsi="楷体_GB2312" w:eastAsia="楷体_GB2312" w:cs="楷体_GB2312"/>
          <w:sz w:val="28"/>
          <w:szCs w:val="28"/>
        </w:rPr>
        <w:tab/>
      </w:r>
      <w:r>
        <w:rPr>
          <w:rFonts w:hint="eastAsia" w:ascii="楷体_GB2312" w:hAnsi="楷体_GB2312" w:eastAsia="楷体_GB2312" w:cs="楷体_GB2312"/>
          <w:sz w:val="28"/>
          <w:szCs w:val="28"/>
        </w:rPr>
        <w:fldChar w:fldCharType="begin"/>
      </w:r>
      <w:r>
        <w:rPr>
          <w:rFonts w:hint="eastAsia" w:ascii="楷体_GB2312" w:hAnsi="楷体_GB2312" w:eastAsia="楷体_GB2312" w:cs="楷体_GB2312"/>
          <w:sz w:val="28"/>
          <w:szCs w:val="28"/>
        </w:rPr>
        <w:instrText xml:space="preserve"> PAGEREF _Toc21224 \h </w:instrText>
      </w:r>
      <w:r>
        <w:rPr>
          <w:rFonts w:hint="eastAsia" w:ascii="楷体_GB2312" w:hAnsi="楷体_GB2312" w:eastAsia="楷体_GB2312" w:cs="楷体_GB2312"/>
          <w:sz w:val="28"/>
          <w:szCs w:val="28"/>
        </w:rPr>
        <w:fldChar w:fldCharType="separate"/>
      </w:r>
      <w:r>
        <w:rPr>
          <w:rFonts w:hint="eastAsia" w:ascii="楷体_GB2312" w:hAnsi="楷体_GB2312" w:eastAsia="楷体_GB2312" w:cs="楷体_GB2312"/>
          <w:sz w:val="28"/>
          <w:szCs w:val="28"/>
        </w:rPr>
        <w:t>26</w:t>
      </w:r>
      <w:r>
        <w:rPr>
          <w:rFonts w:hint="eastAsia" w:ascii="楷体_GB2312" w:hAnsi="楷体_GB2312" w:eastAsia="楷体_GB2312" w:cs="楷体_GB2312"/>
          <w:sz w:val="28"/>
          <w:szCs w:val="28"/>
        </w:rPr>
        <w:fldChar w:fldCharType="end"/>
      </w:r>
      <w:r>
        <w:rPr>
          <w:rFonts w:hint="eastAsia" w:ascii="楷体_GB2312" w:hAnsi="楷体_GB2312" w:eastAsia="楷体_GB2312" w:cs="楷体_GB2312"/>
          <w:sz w:val="28"/>
          <w:szCs w:val="28"/>
        </w:rPr>
        <w:fldChar w:fldCharType="end"/>
      </w:r>
    </w:p>
    <w:p w14:paraId="78D5E834">
      <w:pPr>
        <w:pStyle w:val="19"/>
        <w:keepNext w:val="0"/>
        <w:keepLines w:val="0"/>
        <w:pageBreakBefore w:val="0"/>
        <w:widowControl w:val="0"/>
        <w:tabs>
          <w:tab w:val="right" w:leader="dot" w:pos="8845"/>
        </w:tabs>
        <w:kinsoku/>
        <w:wordWrap/>
        <w:overflowPunct/>
        <w:topLinePunct w:val="0"/>
        <w:autoSpaceDE/>
        <w:autoSpaceDN/>
        <w:bidi w:val="0"/>
        <w:adjustRightInd/>
        <w:snapToGrid/>
        <w:spacing w:line="500" w:lineRule="exact"/>
        <w:textAlignment w:val="auto"/>
        <w:rPr>
          <w:sz w:val="28"/>
          <w:szCs w:val="28"/>
        </w:rPr>
      </w:pPr>
      <w:r>
        <w:rPr>
          <w:rFonts w:hint="eastAsia" w:ascii="楷体_GB2312" w:hAnsi="楷体_GB2312" w:eastAsia="楷体_GB2312" w:cs="楷体_GB2312"/>
          <w:sz w:val="28"/>
          <w:szCs w:val="28"/>
        </w:rPr>
        <w:fldChar w:fldCharType="begin"/>
      </w:r>
      <w:r>
        <w:rPr>
          <w:rFonts w:hint="eastAsia" w:ascii="楷体_GB2312" w:hAnsi="楷体_GB2312" w:eastAsia="楷体_GB2312" w:cs="楷体_GB2312"/>
          <w:sz w:val="28"/>
          <w:szCs w:val="28"/>
        </w:rPr>
        <w:instrText xml:space="preserve"> HYPERLINK \l _Toc13397 </w:instrText>
      </w:r>
      <w:r>
        <w:rPr>
          <w:rFonts w:hint="eastAsia" w:ascii="楷体_GB2312" w:hAnsi="楷体_GB2312" w:eastAsia="楷体_GB2312" w:cs="楷体_GB2312"/>
          <w:sz w:val="28"/>
          <w:szCs w:val="28"/>
        </w:rPr>
        <w:fldChar w:fldCharType="separate"/>
      </w:r>
      <w:r>
        <w:rPr>
          <w:rFonts w:ascii="楷体_GB2312" w:hAnsi="楷体_GB2312" w:eastAsia="楷体_GB2312" w:cs="楷体_GB2312"/>
          <w:spacing w:val="0"/>
          <w:kern w:val="21"/>
          <w:sz w:val="28"/>
          <w:szCs w:val="28"/>
        </w:rPr>
        <w:t>第</w:t>
      </w:r>
      <w:r>
        <w:rPr>
          <w:rFonts w:hint="eastAsia" w:ascii="楷体_GB2312" w:hAnsi="楷体_GB2312" w:eastAsia="楷体_GB2312" w:cs="楷体_GB2312"/>
          <w:spacing w:val="0"/>
          <w:kern w:val="21"/>
          <w:sz w:val="28"/>
          <w:szCs w:val="28"/>
          <w:lang w:eastAsia="zh-CN"/>
        </w:rPr>
        <w:t>二</w:t>
      </w:r>
      <w:r>
        <w:rPr>
          <w:rFonts w:ascii="楷体_GB2312" w:hAnsi="楷体_GB2312" w:eastAsia="楷体_GB2312" w:cs="楷体_GB2312"/>
          <w:spacing w:val="0"/>
          <w:kern w:val="21"/>
          <w:sz w:val="28"/>
          <w:szCs w:val="28"/>
        </w:rPr>
        <w:t xml:space="preserve">节 </w:t>
      </w:r>
      <w:r>
        <w:rPr>
          <w:rFonts w:hint="eastAsia" w:ascii="楷体_GB2312" w:hAnsi="楷体_GB2312" w:eastAsia="楷体_GB2312" w:cs="楷体_GB2312"/>
          <w:spacing w:val="0"/>
          <w:kern w:val="21"/>
          <w:sz w:val="28"/>
          <w:szCs w:val="28"/>
          <w:lang w:val="en-US" w:eastAsia="zh-CN"/>
        </w:rPr>
        <w:t xml:space="preserve"> </w:t>
      </w:r>
      <w:r>
        <w:rPr>
          <w:rFonts w:ascii="楷体_GB2312" w:hAnsi="楷体_GB2312" w:eastAsia="楷体_GB2312" w:cs="楷体_GB2312"/>
          <w:spacing w:val="0"/>
          <w:kern w:val="21"/>
          <w:sz w:val="28"/>
          <w:szCs w:val="28"/>
        </w:rPr>
        <w:t>推进新型基础设施建设</w:t>
      </w:r>
      <w:r>
        <w:rPr>
          <w:rFonts w:hint="eastAsia" w:ascii="楷体_GB2312" w:hAnsi="楷体_GB2312" w:eastAsia="楷体_GB2312" w:cs="楷体_GB2312"/>
          <w:sz w:val="28"/>
          <w:szCs w:val="28"/>
        </w:rPr>
        <w:tab/>
      </w:r>
      <w:r>
        <w:rPr>
          <w:rFonts w:hint="eastAsia" w:ascii="楷体_GB2312" w:hAnsi="楷体_GB2312" w:eastAsia="楷体_GB2312" w:cs="楷体_GB2312"/>
          <w:sz w:val="28"/>
          <w:szCs w:val="28"/>
        </w:rPr>
        <w:fldChar w:fldCharType="begin"/>
      </w:r>
      <w:r>
        <w:rPr>
          <w:rFonts w:hint="eastAsia" w:ascii="楷体_GB2312" w:hAnsi="楷体_GB2312" w:eastAsia="楷体_GB2312" w:cs="楷体_GB2312"/>
          <w:sz w:val="28"/>
          <w:szCs w:val="28"/>
        </w:rPr>
        <w:instrText xml:space="preserve"> PAGEREF _Toc13397 \h </w:instrText>
      </w:r>
      <w:r>
        <w:rPr>
          <w:rFonts w:hint="eastAsia" w:ascii="楷体_GB2312" w:hAnsi="楷体_GB2312" w:eastAsia="楷体_GB2312" w:cs="楷体_GB2312"/>
          <w:sz w:val="28"/>
          <w:szCs w:val="28"/>
        </w:rPr>
        <w:fldChar w:fldCharType="separate"/>
      </w:r>
      <w:r>
        <w:rPr>
          <w:rFonts w:hint="eastAsia" w:ascii="楷体_GB2312" w:hAnsi="楷体_GB2312" w:eastAsia="楷体_GB2312" w:cs="楷体_GB2312"/>
          <w:sz w:val="28"/>
          <w:szCs w:val="28"/>
        </w:rPr>
        <w:t>28</w:t>
      </w:r>
      <w:r>
        <w:rPr>
          <w:rFonts w:hint="eastAsia" w:ascii="楷体_GB2312" w:hAnsi="楷体_GB2312" w:eastAsia="楷体_GB2312" w:cs="楷体_GB2312"/>
          <w:sz w:val="28"/>
          <w:szCs w:val="28"/>
        </w:rPr>
        <w:fldChar w:fldCharType="end"/>
      </w:r>
      <w:r>
        <w:rPr>
          <w:rFonts w:hint="eastAsia" w:ascii="楷体_GB2312" w:hAnsi="楷体_GB2312" w:eastAsia="楷体_GB2312" w:cs="楷体_GB2312"/>
          <w:sz w:val="28"/>
          <w:szCs w:val="28"/>
        </w:rPr>
        <w:fldChar w:fldCharType="end"/>
      </w:r>
    </w:p>
    <w:p w14:paraId="5C4AEE2F">
      <w:pPr>
        <w:pStyle w:val="19"/>
        <w:keepNext w:val="0"/>
        <w:keepLines w:val="0"/>
        <w:pageBreakBefore w:val="0"/>
        <w:widowControl w:val="0"/>
        <w:tabs>
          <w:tab w:val="right" w:leader="dot" w:pos="8845"/>
        </w:tabs>
        <w:kinsoku/>
        <w:wordWrap/>
        <w:overflowPunct/>
        <w:topLinePunct w:val="0"/>
        <w:autoSpaceDE/>
        <w:autoSpaceDN/>
        <w:bidi w:val="0"/>
        <w:adjustRightInd/>
        <w:snapToGrid/>
        <w:spacing w:line="500" w:lineRule="exact"/>
        <w:textAlignment w:val="auto"/>
        <w:rPr>
          <w:sz w:val="28"/>
          <w:szCs w:val="28"/>
        </w:rPr>
      </w:pPr>
      <w:r>
        <w:rPr>
          <w:rFonts w:hint="eastAsia" w:ascii="楷体_GB2312" w:hAnsi="楷体_GB2312" w:eastAsia="楷体_GB2312" w:cs="楷体_GB2312"/>
          <w:sz w:val="28"/>
          <w:szCs w:val="28"/>
        </w:rPr>
        <w:fldChar w:fldCharType="begin"/>
      </w:r>
      <w:r>
        <w:rPr>
          <w:rFonts w:hint="eastAsia" w:ascii="楷体_GB2312" w:hAnsi="楷体_GB2312" w:eastAsia="楷体_GB2312" w:cs="楷体_GB2312"/>
          <w:sz w:val="28"/>
          <w:szCs w:val="28"/>
        </w:rPr>
        <w:instrText xml:space="preserve"> HYPERLINK \l _Toc7124 </w:instrText>
      </w:r>
      <w:r>
        <w:rPr>
          <w:rFonts w:hint="eastAsia" w:ascii="楷体_GB2312" w:hAnsi="楷体_GB2312" w:eastAsia="楷体_GB2312" w:cs="楷体_GB2312"/>
          <w:sz w:val="28"/>
          <w:szCs w:val="28"/>
        </w:rPr>
        <w:fldChar w:fldCharType="separate"/>
      </w:r>
      <w:r>
        <w:rPr>
          <w:rFonts w:hint="eastAsia" w:ascii="楷体_GB2312" w:hAnsi="楷体_GB2312" w:eastAsia="楷体_GB2312" w:cs="楷体_GB2312"/>
          <w:spacing w:val="0"/>
          <w:kern w:val="2"/>
          <w:sz w:val="28"/>
          <w:szCs w:val="28"/>
        </w:rPr>
        <w:t>第</w:t>
      </w:r>
      <w:r>
        <w:rPr>
          <w:rFonts w:hint="eastAsia" w:ascii="楷体_GB2312" w:hAnsi="楷体_GB2312" w:eastAsia="楷体_GB2312" w:cs="楷体_GB2312"/>
          <w:spacing w:val="0"/>
          <w:kern w:val="2"/>
          <w:sz w:val="28"/>
          <w:szCs w:val="28"/>
          <w:lang w:eastAsia="zh-CN"/>
        </w:rPr>
        <w:t>三</w:t>
      </w:r>
      <w:r>
        <w:rPr>
          <w:rFonts w:hint="eastAsia" w:ascii="楷体_GB2312" w:hAnsi="楷体_GB2312" w:eastAsia="楷体_GB2312" w:cs="楷体_GB2312"/>
          <w:spacing w:val="0"/>
          <w:kern w:val="2"/>
          <w:sz w:val="28"/>
          <w:szCs w:val="28"/>
        </w:rPr>
        <w:t xml:space="preserve">节 </w:t>
      </w:r>
      <w:r>
        <w:rPr>
          <w:rFonts w:hint="eastAsia" w:ascii="楷体_GB2312" w:hAnsi="楷体_GB2312" w:eastAsia="楷体_GB2312" w:cs="楷体_GB2312"/>
          <w:spacing w:val="0"/>
          <w:kern w:val="2"/>
          <w:sz w:val="28"/>
          <w:szCs w:val="28"/>
          <w:lang w:val="en-US" w:eastAsia="zh-CN"/>
        </w:rPr>
        <w:t xml:space="preserve"> </w:t>
      </w:r>
      <w:r>
        <w:rPr>
          <w:rFonts w:hint="eastAsia" w:ascii="楷体_GB2312" w:hAnsi="楷体_GB2312" w:eastAsia="楷体_GB2312" w:cs="楷体_GB2312"/>
          <w:spacing w:val="0"/>
          <w:kern w:val="2"/>
          <w:sz w:val="28"/>
          <w:szCs w:val="28"/>
        </w:rPr>
        <w:t>优化交通基础设施建设</w:t>
      </w:r>
      <w:r>
        <w:rPr>
          <w:rFonts w:hint="eastAsia" w:ascii="楷体_GB2312" w:hAnsi="楷体_GB2312" w:eastAsia="楷体_GB2312" w:cs="楷体_GB2312"/>
          <w:sz w:val="28"/>
          <w:szCs w:val="28"/>
        </w:rPr>
        <w:tab/>
      </w:r>
      <w:r>
        <w:rPr>
          <w:rFonts w:hint="eastAsia" w:ascii="楷体_GB2312" w:hAnsi="楷体_GB2312" w:eastAsia="楷体_GB2312" w:cs="楷体_GB2312"/>
          <w:sz w:val="28"/>
          <w:szCs w:val="28"/>
        </w:rPr>
        <w:fldChar w:fldCharType="begin"/>
      </w:r>
      <w:r>
        <w:rPr>
          <w:rFonts w:hint="eastAsia" w:ascii="楷体_GB2312" w:hAnsi="楷体_GB2312" w:eastAsia="楷体_GB2312" w:cs="楷体_GB2312"/>
          <w:sz w:val="28"/>
          <w:szCs w:val="28"/>
        </w:rPr>
        <w:instrText xml:space="preserve"> PAGEREF _Toc7124 \h </w:instrText>
      </w:r>
      <w:r>
        <w:rPr>
          <w:rFonts w:hint="eastAsia" w:ascii="楷体_GB2312" w:hAnsi="楷体_GB2312" w:eastAsia="楷体_GB2312" w:cs="楷体_GB2312"/>
          <w:sz w:val="28"/>
          <w:szCs w:val="28"/>
        </w:rPr>
        <w:fldChar w:fldCharType="separate"/>
      </w:r>
      <w:r>
        <w:rPr>
          <w:rFonts w:hint="eastAsia" w:ascii="楷体_GB2312" w:hAnsi="楷体_GB2312" w:eastAsia="楷体_GB2312" w:cs="楷体_GB2312"/>
          <w:sz w:val="28"/>
          <w:szCs w:val="28"/>
        </w:rPr>
        <w:t>29</w:t>
      </w:r>
      <w:r>
        <w:rPr>
          <w:rFonts w:hint="eastAsia" w:ascii="楷体_GB2312" w:hAnsi="楷体_GB2312" w:eastAsia="楷体_GB2312" w:cs="楷体_GB2312"/>
          <w:sz w:val="28"/>
          <w:szCs w:val="28"/>
        </w:rPr>
        <w:fldChar w:fldCharType="end"/>
      </w:r>
      <w:r>
        <w:rPr>
          <w:rFonts w:hint="eastAsia" w:ascii="楷体_GB2312" w:hAnsi="楷体_GB2312" w:eastAsia="楷体_GB2312" w:cs="楷体_GB2312"/>
          <w:sz w:val="28"/>
          <w:szCs w:val="28"/>
        </w:rPr>
        <w:fldChar w:fldCharType="end"/>
      </w:r>
    </w:p>
    <w:p w14:paraId="388E6A4F">
      <w:pPr>
        <w:pStyle w:val="17"/>
        <w:keepNext w:val="0"/>
        <w:keepLines w:val="0"/>
        <w:pageBreakBefore w:val="0"/>
        <w:widowControl w:val="0"/>
        <w:tabs>
          <w:tab w:val="right" w:leader="dot" w:pos="8845"/>
        </w:tabs>
        <w:kinsoku/>
        <w:wordWrap/>
        <w:overflowPunct/>
        <w:topLinePunct w:val="0"/>
        <w:autoSpaceDE/>
        <w:autoSpaceDN/>
        <w:bidi w:val="0"/>
        <w:adjustRightInd/>
        <w:snapToGrid/>
        <w:spacing w:line="500" w:lineRule="exact"/>
        <w:textAlignment w:val="auto"/>
        <w:rPr>
          <w:rFonts w:hint="eastAsia" w:ascii="黑体" w:hAnsi="黑体" w:eastAsia="黑体" w:cs="黑体"/>
          <w:sz w:val="28"/>
          <w:szCs w:val="28"/>
        </w:rPr>
      </w:pPr>
      <w:r>
        <w:rPr>
          <w:rFonts w:hint="eastAsia" w:ascii="黑体" w:hAnsi="黑体" w:eastAsia="黑体" w:cs="黑体"/>
          <w:sz w:val="28"/>
          <w:szCs w:val="28"/>
        </w:rPr>
        <w:fldChar w:fldCharType="begin"/>
      </w:r>
      <w:r>
        <w:rPr>
          <w:rFonts w:hint="eastAsia" w:ascii="黑体" w:hAnsi="黑体" w:eastAsia="黑体" w:cs="黑体"/>
          <w:sz w:val="28"/>
          <w:szCs w:val="28"/>
        </w:rPr>
        <w:instrText xml:space="preserve"> HYPERLINK \l _Toc121 </w:instrText>
      </w:r>
      <w:r>
        <w:rPr>
          <w:rFonts w:hint="eastAsia" w:ascii="黑体" w:hAnsi="黑体" w:eastAsia="黑体" w:cs="黑体"/>
          <w:sz w:val="28"/>
          <w:szCs w:val="28"/>
        </w:rPr>
        <w:fldChar w:fldCharType="separate"/>
      </w:r>
      <w:r>
        <w:rPr>
          <w:rFonts w:hint="eastAsia" w:ascii="黑体" w:hAnsi="黑体" w:eastAsia="黑体" w:cs="黑体"/>
          <w:kern w:val="2"/>
          <w:sz w:val="28"/>
          <w:szCs w:val="28"/>
        </w:rPr>
        <w:t>第</w:t>
      </w:r>
      <w:r>
        <w:rPr>
          <w:rFonts w:hint="eastAsia" w:ascii="黑体" w:hAnsi="黑体" w:eastAsia="黑体" w:cs="黑体"/>
          <w:kern w:val="2"/>
          <w:sz w:val="28"/>
          <w:szCs w:val="28"/>
          <w:lang w:eastAsia="zh-CN"/>
        </w:rPr>
        <w:t>七</w:t>
      </w:r>
      <w:r>
        <w:rPr>
          <w:rFonts w:hint="eastAsia" w:ascii="黑体" w:hAnsi="黑体" w:eastAsia="黑体" w:cs="黑体"/>
          <w:kern w:val="2"/>
          <w:sz w:val="28"/>
          <w:szCs w:val="28"/>
        </w:rPr>
        <w:t xml:space="preserve">章  </w:t>
      </w:r>
      <w:r>
        <w:rPr>
          <w:rFonts w:hint="eastAsia" w:ascii="黑体" w:hAnsi="黑体" w:eastAsia="黑体" w:cs="黑体"/>
          <w:sz w:val="28"/>
          <w:szCs w:val="28"/>
          <w:lang w:val="en-US" w:eastAsia="zh-CN"/>
        </w:rPr>
        <w:t>以经济体制改革为牵引，不断激发高质量发展动力活力</w:t>
      </w:r>
      <w:r>
        <w:rPr>
          <w:rFonts w:hint="eastAsia" w:ascii="黑体" w:hAnsi="黑体" w:eastAsia="黑体" w:cs="黑体"/>
          <w:sz w:val="28"/>
          <w:szCs w:val="28"/>
        </w:rPr>
        <w:tab/>
      </w:r>
      <w:r>
        <w:rPr>
          <w:rFonts w:hint="eastAsia" w:ascii="黑体" w:hAnsi="黑体" w:eastAsia="黑体" w:cs="黑体"/>
          <w:sz w:val="28"/>
          <w:szCs w:val="28"/>
        </w:rPr>
        <w:fldChar w:fldCharType="begin"/>
      </w:r>
      <w:r>
        <w:rPr>
          <w:rFonts w:hint="eastAsia" w:ascii="黑体" w:hAnsi="黑体" w:eastAsia="黑体" w:cs="黑体"/>
          <w:sz w:val="28"/>
          <w:szCs w:val="28"/>
        </w:rPr>
        <w:instrText xml:space="preserve"> PAGEREF _Toc121 \h </w:instrText>
      </w:r>
      <w:r>
        <w:rPr>
          <w:rFonts w:hint="eastAsia" w:ascii="黑体" w:hAnsi="黑体" w:eastAsia="黑体" w:cs="黑体"/>
          <w:sz w:val="28"/>
          <w:szCs w:val="28"/>
        </w:rPr>
        <w:fldChar w:fldCharType="separate"/>
      </w:r>
      <w:r>
        <w:rPr>
          <w:rFonts w:hint="eastAsia" w:ascii="黑体" w:hAnsi="黑体" w:eastAsia="黑体" w:cs="黑体"/>
          <w:sz w:val="28"/>
          <w:szCs w:val="28"/>
        </w:rPr>
        <w:t>32</w:t>
      </w:r>
      <w:r>
        <w:rPr>
          <w:rFonts w:hint="eastAsia" w:ascii="黑体" w:hAnsi="黑体" w:eastAsia="黑体" w:cs="黑体"/>
          <w:sz w:val="28"/>
          <w:szCs w:val="28"/>
        </w:rPr>
        <w:fldChar w:fldCharType="end"/>
      </w:r>
      <w:r>
        <w:rPr>
          <w:rFonts w:hint="eastAsia" w:ascii="黑体" w:hAnsi="黑体" w:eastAsia="黑体" w:cs="黑体"/>
          <w:sz w:val="28"/>
          <w:szCs w:val="28"/>
        </w:rPr>
        <w:fldChar w:fldCharType="end"/>
      </w:r>
    </w:p>
    <w:p w14:paraId="3044205D">
      <w:pPr>
        <w:pStyle w:val="19"/>
        <w:keepNext w:val="0"/>
        <w:keepLines w:val="0"/>
        <w:pageBreakBefore w:val="0"/>
        <w:widowControl w:val="0"/>
        <w:tabs>
          <w:tab w:val="right" w:leader="dot" w:pos="8845"/>
        </w:tabs>
        <w:kinsoku/>
        <w:wordWrap/>
        <w:overflowPunct/>
        <w:topLinePunct w:val="0"/>
        <w:autoSpaceDE/>
        <w:autoSpaceDN/>
        <w:bidi w:val="0"/>
        <w:adjustRightInd/>
        <w:snapToGrid/>
        <w:spacing w:line="500" w:lineRule="exact"/>
        <w:textAlignment w:val="auto"/>
        <w:rPr>
          <w:sz w:val="28"/>
          <w:szCs w:val="28"/>
        </w:rPr>
      </w:pPr>
      <w:r>
        <w:rPr>
          <w:rFonts w:hint="eastAsia" w:ascii="楷体_GB2312" w:hAnsi="楷体_GB2312" w:eastAsia="楷体_GB2312" w:cs="楷体_GB2312"/>
          <w:sz w:val="28"/>
          <w:szCs w:val="28"/>
        </w:rPr>
        <w:fldChar w:fldCharType="begin"/>
      </w:r>
      <w:r>
        <w:rPr>
          <w:rFonts w:hint="eastAsia" w:ascii="楷体_GB2312" w:hAnsi="楷体_GB2312" w:eastAsia="楷体_GB2312" w:cs="楷体_GB2312"/>
          <w:sz w:val="28"/>
          <w:szCs w:val="28"/>
        </w:rPr>
        <w:instrText xml:space="preserve"> HYPERLINK \l _Toc12161 </w:instrText>
      </w:r>
      <w:r>
        <w:rPr>
          <w:rFonts w:hint="eastAsia" w:ascii="楷体_GB2312" w:hAnsi="楷体_GB2312" w:eastAsia="楷体_GB2312" w:cs="楷体_GB2312"/>
          <w:sz w:val="28"/>
          <w:szCs w:val="28"/>
        </w:rPr>
        <w:fldChar w:fldCharType="separate"/>
      </w:r>
      <w:r>
        <w:rPr>
          <w:rFonts w:ascii="楷体_GB2312" w:hAnsi="楷体_GB2312" w:eastAsia="楷体_GB2312" w:cs="楷体_GB2312"/>
          <w:kern w:val="21"/>
          <w:sz w:val="28"/>
          <w:szCs w:val="28"/>
        </w:rPr>
        <w:t>第</w:t>
      </w:r>
      <w:r>
        <w:rPr>
          <w:rFonts w:hint="eastAsia" w:ascii="楷体_GB2312" w:hAnsi="楷体_GB2312" w:eastAsia="楷体_GB2312" w:cs="楷体_GB2312"/>
          <w:kern w:val="21"/>
          <w:sz w:val="28"/>
          <w:szCs w:val="28"/>
          <w:lang w:eastAsia="zh-CN"/>
        </w:rPr>
        <w:t>一</w:t>
      </w:r>
      <w:r>
        <w:rPr>
          <w:rFonts w:ascii="楷体_GB2312" w:hAnsi="楷体_GB2312" w:eastAsia="楷体_GB2312" w:cs="楷体_GB2312"/>
          <w:kern w:val="21"/>
          <w:sz w:val="28"/>
          <w:szCs w:val="28"/>
        </w:rPr>
        <w:t xml:space="preserve">节 </w:t>
      </w:r>
      <w:r>
        <w:rPr>
          <w:rFonts w:hint="eastAsia" w:ascii="楷体_GB2312" w:hAnsi="楷体_GB2312" w:eastAsia="楷体_GB2312" w:cs="楷体_GB2312"/>
          <w:kern w:val="21"/>
          <w:sz w:val="28"/>
          <w:szCs w:val="28"/>
          <w:lang w:val="en-US" w:eastAsia="zh-CN"/>
        </w:rPr>
        <w:t xml:space="preserve"> </w:t>
      </w:r>
      <w:r>
        <w:rPr>
          <w:rFonts w:hint="eastAsia" w:ascii="楷体_GB2312" w:hAnsi="楷体_GB2312" w:eastAsia="楷体_GB2312" w:cs="楷体_GB2312"/>
          <w:kern w:val="21"/>
          <w:sz w:val="28"/>
          <w:szCs w:val="28"/>
          <w:lang w:eastAsia="zh-CN"/>
        </w:rPr>
        <w:t>坚持和落实“两个毫不动摇”</w:t>
      </w:r>
      <w:r>
        <w:rPr>
          <w:rFonts w:hint="eastAsia" w:ascii="楷体_GB2312" w:hAnsi="楷体_GB2312" w:eastAsia="楷体_GB2312" w:cs="楷体_GB2312"/>
          <w:sz w:val="28"/>
          <w:szCs w:val="28"/>
        </w:rPr>
        <w:tab/>
      </w:r>
      <w:r>
        <w:rPr>
          <w:rFonts w:hint="eastAsia" w:ascii="楷体_GB2312" w:hAnsi="楷体_GB2312" w:eastAsia="楷体_GB2312" w:cs="楷体_GB2312"/>
          <w:sz w:val="28"/>
          <w:szCs w:val="28"/>
        </w:rPr>
        <w:fldChar w:fldCharType="begin"/>
      </w:r>
      <w:r>
        <w:rPr>
          <w:rFonts w:hint="eastAsia" w:ascii="楷体_GB2312" w:hAnsi="楷体_GB2312" w:eastAsia="楷体_GB2312" w:cs="楷体_GB2312"/>
          <w:sz w:val="28"/>
          <w:szCs w:val="28"/>
        </w:rPr>
        <w:instrText xml:space="preserve"> PAGEREF _Toc12161 \h </w:instrText>
      </w:r>
      <w:r>
        <w:rPr>
          <w:rFonts w:hint="eastAsia" w:ascii="楷体_GB2312" w:hAnsi="楷体_GB2312" w:eastAsia="楷体_GB2312" w:cs="楷体_GB2312"/>
          <w:sz w:val="28"/>
          <w:szCs w:val="28"/>
        </w:rPr>
        <w:fldChar w:fldCharType="separate"/>
      </w:r>
      <w:r>
        <w:rPr>
          <w:rFonts w:hint="eastAsia" w:ascii="楷体_GB2312" w:hAnsi="楷体_GB2312" w:eastAsia="楷体_GB2312" w:cs="楷体_GB2312"/>
          <w:sz w:val="28"/>
          <w:szCs w:val="28"/>
        </w:rPr>
        <w:t>32</w:t>
      </w:r>
      <w:r>
        <w:rPr>
          <w:rFonts w:hint="eastAsia" w:ascii="楷体_GB2312" w:hAnsi="楷体_GB2312" w:eastAsia="楷体_GB2312" w:cs="楷体_GB2312"/>
          <w:sz w:val="28"/>
          <w:szCs w:val="28"/>
        </w:rPr>
        <w:fldChar w:fldCharType="end"/>
      </w:r>
      <w:r>
        <w:rPr>
          <w:rFonts w:hint="eastAsia" w:ascii="楷体_GB2312" w:hAnsi="楷体_GB2312" w:eastAsia="楷体_GB2312" w:cs="楷体_GB2312"/>
          <w:sz w:val="28"/>
          <w:szCs w:val="28"/>
        </w:rPr>
        <w:fldChar w:fldCharType="end"/>
      </w:r>
    </w:p>
    <w:p w14:paraId="2BBA7783">
      <w:pPr>
        <w:pStyle w:val="19"/>
        <w:keepNext w:val="0"/>
        <w:keepLines w:val="0"/>
        <w:pageBreakBefore w:val="0"/>
        <w:widowControl w:val="0"/>
        <w:tabs>
          <w:tab w:val="right" w:leader="dot" w:pos="8845"/>
        </w:tabs>
        <w:kinsoku/>
        <w:wordWrap/>
        <w:overflowPunct/>
        <w:topLinePunct w:val="0"/>
        <w:autoSpaceDE/>
        <w:autoSpaceDN/>
        <w:bidi w:val="0"/>
        <w:adjustRightInd/>
        <w:snapToGrid/>
        <w:spacing w:line="500" w:lineRule="exact"/>
        <w:textAlignment w:val="auto"/>
        <w:rPr>
          <w:sz w:val="28"/>
          <w:szCs w:val="28"/>
        </w:rPr>
      </w:pPr>
      <w:r>
        <w:rPr>
          <w:rFonts w:hint="eastAsia" w:ascii="楷体_GB2312" w:hAnsi="楷体_GB2312" w:eastAsia="楷体_GB2312" w:cs="楷体_GB2312"/>
          <w:sz w:val="28"/>
          <w:szCs w:val="28"/>
        </w:rPr>
        <w:fldChar w:fldCharType="begin"/>
      </w:r>
      <w:r>
        <w:rPr>
          <w:rFonts w:hint="eastAsia" w:ascii="楷体_GB2312" w:hAnsi="楷体_GB2312" w:eastAsia="楷体_GB2312" w:cs="楷体_GB2312"/>
          <w:sz w:val="28"/>
          <w:szCs w:val="28"/>
        </w:rPr>
        <w:instrText xml:space="preserve"> HYPERLINK \l _Toc9920 </w:instrText>
      </w:r>
      <w:r>
        <w:rPr>
          <w:rFonts w:hint="eastAsia" w:ascii="楷体_GB2312" w:hAnsi="楷体_GB2312" w:eastAsia="楷体_GB2312" w:cs="楷体_GB2312"/>
          <w:sz w:val="28"/>
          <w:szCs w:val="28"/>
        </w:rPr>
        <w:fldChar w:fldCharType="separate"/>
      </w:r>
      <w:r>
        <w:rPr>
          <w:rFonts w:hint="eastAsia" w:ascii="楷体_GB2312" w:hAnsi="楷体_GB2312" w:eastAsia="楷体_GB2312" w:cs="楷体_GB2312"/>
          <w:kern w:val="2"/>
          <w:sz w:val="28"/>
          <w:szCs w:val="28"/>
        </w:rPr>
        <w:t>第</w:t>
      </w:r>
      <w:r>
        <w:rPr>
          <w:rFonts w:hint="eastAsia" w:ascii="楷体_GB2312" w:hAnsi="楷体_GB2312" w:eastAsia="楷体_GB2312" w:cs="楷体_GB2312"/>
          <w:kern w:val="2"/>
          <w:sz w:val="28"/>
          <w:szCs w:val="28"/>
          <w:lang w:eastAsia="zh-CN"/>
        </w:rPr>
        <w:t>二</w:t>
      </w:r>
      <w:r>
        <w:rPr>
          <w:rFonts w:hint="eastAsia" w:ascii="楷体_GB2312" w:hAnsi="楷体_GB2312" w:eastAsia="楷体_GB2312" w:cs="楷体_GB2312"/>
          <w:kern w:val="2"/>
          <w:sz w:val="28"/>
          <w:szCs w:val="28"/>
        </w:rPr>
        <w:t xml:space="preserve">节 </w:t>
      </w:r>
      <w:r>
        <w:rPr>
          <w:rFonts w:hint="eastAsia" w:ascii="楷体_GB2312" w:hAnsi="楷体_GB2312" w:eastAsia="楷体_GB2312" w:cs="楷体_GB2312"/>
          <w:kern w:val="2"/>
          <w:sz w:val="28"/>
          <w:szCs w:val="28"/>
          <w:lang w:val="en-US" w:eastAsia="zh-CN"/>
        </w:rPr>
        <w:t xml:space="preserve"> </w:t>
      </w:r>
      <w:r>
        <w:rPr>
          <w:rFonts w:hint="eastAsia" w:ascii="楷体_GB2312" w:hAnsi="楷体_GB2312" w:eastAsia="楷体_GB2312" w:cs="楷体_GB2312"/>
          <w:kern w:val="2"/>
          <w:sz w:val="28"/>
          <w:szCs w:val="28"/>
          <w:lang w:eastAsia="zh-CN"/>
        </w:rPr>
        <w:t>深化要素市场化配置改革</w:t>
      </w:r>
      <w:r>
        <w:rPr>
          <w:rFonts w:hint="eastAsia" w:ascii="楷体_GB2312" w:hAnsi="楷体_GB2312" w:eastAsia="楷体_GB2312" w:cs="楷体_GB2312"/>
          <w:sz w:val="28"/>
          <w:szCs w:val="28"/>
        </w:rPr>
        <w:tab/>
      </w:r>
      <w:r>
        <w:rPr>
          <w:rFonts w:hint="eastAsia" w:ascii="楷体_GB2312" w:hAnsi="楷体_GB2312" w:eastAsia="楷体_GB2312" w:cs="楷体_GB2312"/>
          <w:sz w:val="28"/>
          <w:szCs w:val="28"/>
        </w:rPr>
        <w:fldChar w:fldCharType="begin"/>
      </w:r>
      <w:r>
        <w:rPr>
          <w:rFonts w:hint="eastAsia" w:ascii="楷体_GB2312" w:hAnsi="楷体_GB2312" w:eastAsia="楷体_GB2312" w:cs="楷体_GB2312"/>
          <w:sz w:val="28"/>
          <w:szCs w:val="28"/>
        </w:rPr>
        <w:instrText xml:space="preserve"> PAGEREF _Toc9920 \h </w:instrText>
      </w:r>
      <w:r>
        <w:rPr>
          <w:rFonts w:hint="eastAsia" w:ascii="楷体_GB2312" w:hAnsi="楷体_GB2312" w:eastAsia="楷体_GB2312" w:cs="楷体_GB2312"/>
          <w:sz w:val="28"/>
          <w:szCs w:val="28"/>
        </w:rPr>
        <w:fldChar w:fldCharType="separate"/>
      </w:r>
      <w:r>
        <w:rPr>
          <w:rFonts w:hint="eastAsia" w:ascii="楷体_GB2312" w:hAnsi="楷体_GB2312" w:eastAsia="楷体_GB2312" w:cs="楷体_GB2312"/>
          <w:sz w:val="28"/>
          <w:szCs w:val="28"/>
        </w:rPr>
        <w:t>33</w:t>
      </w:r>
      <w:r>
        <w:rPr>
          <w:rFonts w:hint="eastAsia" w:ascii="楷体_GB2312" w:hAnsi="楷体_GB2312" w:eastAsia="楷体_GB2312" w:cs="楷体_GB2312"/>
          <w:sz w:val="28"/>
          <w:szCs w:val="28"/>
        </w:rPr>
        <w:fldChar w:fldCharType="end"/>
      </w:r>
      <w:r>
        <w:rPr>
          <w:rFonts w:hint="eastAsia" w:ascii="楷体_GB2312" w:hAnsi="楷体_GB2312" w:eastAsia="楷体_GB2312" w:cs="楷体_GB2312"/>
          <w:sz w:val="28"/>
          <w:szCs w:val="28"/>
        </w:rPr>
        <w:fldChar w:fldCharType="end"/>
      </w:r>
    </w:p>
    <w:p w14:paraId="2CD09417">
      <w:pPr>
        <w:pStyle w:val="17"/>
        <w:keepNext w:val="0"/>
        <w:keepLines w:val="0"/>
        <w:pageBreakBefore w:val="0"/>
        <w:widowControl w:val="0"/>
        <w:tabs>
          <w:tab w:val="right" w:leader="dot" w:pos="8845"/>
        </w:tabs>
        <w:kinsoku/>
        <w:wordWrap/>
        <w:overflowPunct/>
        <w:topLinePunct w:val="0"/>
        <w:autoSpaceDE/>
        <w:autoSpaceDN/>
        <w:bidi w:val="0"/>
        <w:adjustRightInd/>
        <w:snapToGrid/>
        <w:spacing w:line="500" w:lineRule="exact"/>
        <w:textAlignment w:val="auto"/>
        <w:rPr>
          <w:rFonts w:hint="eastAsia" w:ascii="黑体" w:hAnsi="黑体" w:eastAsia="黑体" w:cs="黑体"/>
          <w:sz w:val="28"/>
          <w:szCs w:val="28"/>
        </w:rPr>
      </w:pPr>
      <w:r>
        <w:rPr>
          <w:rFonts w:hint="eastAsia" w:ascii="黑体" w:hAnsi="黑体" w:eastAsia="黑体" w:cs="黑体"/>
          <w:sz w:val="28"/>
          <w:szCs w:val="28"/>
        </w:rPr>
        <w:fldChar w:fldCharType="begin"/>
      </w:r>
      <w:r>
        <w:rPr>
          <w:rFonts w:hint="eastAsia" w:ascii="黑体" w:hAnsi="黑体" w:eastAsia="黑体" w:cs="黑体"/>
          <w:sz w:val="28"/>
          <w:szCs w:val="28"/>
        </w:rPr>
        <w:instrText xml:space="preserve"> HYPERLINK \l _Toc248 </w:instrText>
      </w:r>
      <w:r>
        <w:rPr>
          <w:rFonts w:hint="eastAsia" w:ascii="黑体" w:hAnsi="黑体" w:eastAsia="黑体" w:cs="黑体"/>
          <w:sz w:val="28"/>
          <w:szCs w:val="28"/>
        </w:rPr>
        <w:fldChar w:fldCharType="separate"/>
      </w:r>
      <w:r>
        <w:rPr>
          <w:rFonts w:hint="eastAsia" w:ascii="黑体" w:hAnsi="黑体" w:eastAsia="黑体" w:cs="黑体"/>
          <w:spacing w:val="0"/>
          <w:kern w:val="2"/>
          <w:sz w:val="28"/>
          <w:szCs w:val="28"/>
        </w:rPr>
        <w:t>第</w:t>
      </w:r>
      <w:r>
        <w:rPr>
          <w:rFonts w:hint="eastAsia" w:ascii="黑体" w:hAnsi="黑体" w:eastAsia="黑体" w:cs="黑体"/>
          <w:spacing w:val="0"/>
          <w:kern w:val="2"/>
          <w:sz w:val="28"/>
          <w:szCs w:val="28"/>
          <w:lang w:eastAsia="zh-CN"/>
        </w:rPr>
        <w:t>八</w:t>
      </w:r>
      <w:r>
        <w:rPr>
          <w:rFonts w:hint="eastAsia" w:ascii="黑体" w:hAnsi="黑体" w:eastAsia="黑体" w:cs="黑体"/>
          <w:spacing w:val="0"/>
          <w:kern w:val="2"/>
          <w:sz w:val="28"/>
          <w:szCs w:val="28"/>
        </w:rPr>
        <w:t>章  推进高水平对外开放</w:t>
      </w:r>
      <w:r>
        <w:rPr>
          <w:rFonts w:hint="eastAsia" w:ascii="黑体" w:hAnsi="黑体" w:eastAsia="黑体" w:cs="黑体"/>
          <w:spacing w:val="0"/>
          <w:kern w:val="2"/>
          <w:sz w:val="28"/>
          <w:szCs w:val="28"/>
          <w:lang w:eastAsia="zh-CN"/>
        </w:rPr>
        <w:t>，</w:t>
      </w:r>
      <w:r>
        <w:rPr>
          <w:rFonts w:hint="eastAsia" w:ascii="黑体" w:hAnsi="黑体" w:eastAsia="黑体" w:cs="黑体"/>
          <w:spacing w:val="0"/>
          <w:kern w:val="2"/>
          <w:sz w:val="28"/>
          <w:szCs w:val="28"/>
        </w:rPr>
        <w:t>塑造开放型经济新优势</w:t>
      </w:r>
      <w:r>
        <w:rPr>
          <w:rFonts w:hint="eastAsia" w:ascii="黑体" w:hAnsi="黑体" w:eastAsia="黑体" w:cs="黑体"/>
          <w:sz w:val="28"/>
          <w:szCs w:val="28"/>
        </w:rPr>
        <w:tab/>
      </w:r>
      <w:r>
        <w:rPr>
          <w:rFonts w:hint="eastAsia" w:ascii="黑体" w:hAnsi="黑体" w:eastAsia="黑体" w:cs="黑体"/>
          <w:sz w:val="28"/>
          <w:szCs w:val="28"/>
        </w:rPr>
        <w:fldChar w:fldCharType="begin"/>
      </w:r>
      <w:r>
        <w:rPr>
          <w:rFonts w:hint="eastAsia" w:ascii="黑体" w:hAnsi="黑体" w:eastAsia="黑体" w:cs="黑体"/>
          <w:sz w:val="28"/>
          <w:szCs w:val="28"/>
        </w:rPr>
        <w:instrText xml:space="preserve"> PAGEREF _Toc248 \h </w:instrText>
      </w:r>
      <w:r>
        <w:rPr>
          <w:rFonts w:hint="eastAsia" w:ascii="黑体" w:hAnsi="黑体" w:eastAsia="黑体" w:cs="黑体"/>
          <w:sz w:val="28"/>
          <w:szCs w:val="28"/>
        </w:rPr>
        <w:fldChar w:fldCharType="separate"/>
      </w:r>
      <w:r>
        <w:rPr>
          <w:rFonts w:hint="eastAsia" w:ascii="黑体" w:hAnsi="黑体" w:eastAsia="黑体" w:cs="黑体"/>
          <w:sz w:val="28"/>
          <w:szCs w:val="28"/>
        </w:rPr>
        <w:t>35</w:t>
      </w:r>
      <w:r>
        <w:rPr>
          <w:rFonts w:hint="eastAsia" w:ascii="黑体" w:hAnsi="黑体" w:eastAsia="黑体" w:cs="黑体"/>
          <w:sz w:val="28"/>
          <w:szCs w:val="28"/>
        </w:rPr>
        <w:fldChar w:fldCharType="end"/>
      </w:r>
      <w:r>
        <w:rPr>
          <w:rFonts w:hint="eastAsia" w:ascii="黑体" w:hAnsi="黑体" w:eastAsia="黑体" w:cs="黑体"/>
          <w:sz w:val="28"/>
          <w:szCs w:val="28"/>
        </w:rPr>
        <w:fldChar w:fldCharType="end"/>
      </w:r>
    </w:p>
    <w:p w14:paraId="44B1AB05">
      <w:pPr>
        <w:pStyle w:val="19"/>
        <w:keepNext w:val="0"/>
        <w:keepLines w:val="0"/>
        <w:pageBreakBefore w:val="0"/>
        <w:widowControl w:val="0"/>
        <w:tabs>
          <w:tab w:val="right" w:leader="dot" w:pos="8845"/>
        </w:tabs>
        <w:kinsoku/>
        <w:wordWrap/>
        <w:overflowPunct/>
        <w:topLinePunct w:val="0"/>
        <w:autoSpaceDE/>
        <w:autoSpaceDN/>
        <w:bidi w:val="0"/>
        <w:adjustRightInd/>
        <w:snapToGrid/>
        <w:spacing w:line="500" w:lineRule="exact"/>
        <w:textAlignment w:val="auto"/>
        <w:rPr>
          <w:sz w:val="28"/>
          <w:szCs w:val="28"/>
        </w:rPr>
      </w:pPr>
      <w:r>
        <w:rPr>
          <w:rFonts w:hint="eastAsia" w:ascii="楷体_GB2312" w:hAnsi="楷体_GB2312" w:eastAsia="楷体_GB2312" w:cs="楷体_GB2312"/>
          <w:sz w:val="28"/>
          <w:szCs w:val="28"/>
        </w:rPr>
        <w:fldChar w:fldCharType="begin"/>
      </w:r>
      <w:r>
        <w:rPr>
          <w:rFonts w:hint="eastAsia" w:ascii="楷体_GB2312" w:hAnsi="楷体_GB2312" w:eastAsia="楷体_GB2312" w:cs="楷体_GB2312"/>
          <w:sz w:val="28"/>
          <w:szCs w:val="28"/>
        </w:rPr>
        <w:instrText xml:space="preserve"> HYPERLINK \l _Toc30241 </w:instrText>
      </w:r>
      <w:r>
        <w:rPr>
          <w:rFonts w:hint="eastAsia" w:ascii="楷体_GB2312" w:hAnsi="楷体_GB2312" w:eastAsia="楷体_GB2312" w:cs="楷体_GB2312"/>
          <w:sz w:val="28"/>
          <w:szCs w:val="28"/>
        </w:rPr>
        <w:fldChar w:fldCharType="separate"/>
      </w:r>
      <w:r>
        <w:rPr>
          <w:rFonts w:hint="eastAsia" w:ascii="楷体_GB2312" w:hAnsi="楷体_GB2312" w:eastAsia="楷体_GB2312" w:cs="楷体_GB2312"/>
          <w:spacing w:val="0"/>
          <w:kern w:val="2"/>
          <w:sz w:val="28"/>
          <w:szCs w:val="28"/>
        </w:rPr>
        <w:t xml:space="preserve">第一节 </w:t>
      </w:r>
      <w:r>
        <w:rPr>
          <w:rFonts w:hint="eastAsia" w:ascii="楷体_GB2312" w:hAnsi="楷体_GB2312" w:eastAsia="楷体_GB2312" w:cs="楷体_GB2312"/>
          <w:spacing w:val="0"/>
          <w:kern w:val="2"/>
          <w:sz w:val="28"/>
          <w:szCs w:val="28"/>
          <w:lang w:val="en-US" w:eastAsia="zh-CN"/>
        </w:rPr>
        <w:t xml:space="preserve"> </w:t>
      </w:r>
      <w:r>
        <w:rPr>
          <w:rFonts w:hint="eastAsia" w:ascii="楷体_GB2312" w:hAnsi="楷体_GB2312" w:eastAsia="楷体_GB2312" w:cs="楷体_GB2312"/>
          <w:spacing w:val="0"/>
          <w:kern w:val="2"/>
          <w:sz w:val="28"/>
          <w:szCs w:val="28"/>
        </w:rPr>
        <w:t>稳步</w:t>
      </w:r>
      <w:r>
        <w:rPr>
          <w:rFonts w:hint="eastAsia" w:ascii="楷体_GB2312" w:hAnsi="楷体_GB2312" w:eastAsia="楷体_GB2312" w:cs="楷体_GB2312"/>
          <w:spacing w:val="0"/>
          <w:kern w:val="2"/>
          <w:sz w:val="28"/>
          <w:szCs w:val="28"/>
          <w:lang w:val="en-US" w:eastAsia="zh-CN"/>
        </w:rPr>
        <w:t>扩大</w:t>
      </w:r>
      <w:r>
        <w:rPr>
          <w:rFonts w:hint="eastAsia" w:ascii="楷体_GB2312" w:hAnsi="楷体_GB2312" w:eastAsia="楷体_GB2312" w:cs="楷体_GB2312"/>
          <w:spacing w:val="0"/>
          <w:kern w:val="2"/>
          <w:sz w:val="28"/>
          <w:szCs w:val="28"/>
        </w:rPr>
        <w:t>制度型开放</w:t>
      </w:r>
      <w:r>
        <w:rPr>
          <w:rFonts w:hint="eastAsia" w:ascii="楷体_GB2312" w:hAnsi="楷体_GB2312" w:eastAsia="楷体_GB2312" w:cs="楷体_GB2312"/>
          <w:sz w:val="28"/>
          <w:szCs w:val="28"/>
        </w:rPr>
        <w:tab/>
      </w:r>
      <w:r>
        <w:rPr>
          <w:rFonts w:hint="eastAsia" w:ascii="楷体_GB2312" w:hAnsi="楷体_GB2312" w:eastAsia="楷体_GB2312" w:cs="楷体_GB2312"/>
          <w:sz w:val="28"/>
          <w:szCs w:val="28"/>
        </w:rPr>
        <w:fldChar w:fldCharType="begin"/>
      </w:r>
      <w:r>
        <w:rPr>
          <w:rFonts w:hint="eastAsia" w:ascii="楷体_GB2312" w:hAnsi="楷体_GB2312" w:eastAsia="楷体_GB2312" w:cs="楷体_GB2312"/>
          <w:sz w:val="28"/>
          <w:szCs w:val="28"/>
        </w:rPr>
        <w:instrText xml:space="preserve"> PAGEREF _Toc30241 \h </w:instrText>
      </w:r>
      <w:r>
        <w:rPr>
          <w:rFonts w:hint="eastAsia" w:ascii="楷体_GB2312" w:hAnsi="楷体_GB2312" w:eastAsia="楷体_GB2312" w:cs="楷体_GB2312"/>
          <w:sz w:val="28"/>
          <w:szCs w:val="28"/>
        </w:rPr>
        <w:fldChar w:fldCharType="separate"/>
      </w:r>
      <w:r>
        <w:rPr>
          <w:rFonts w:hint="eastAsia" w:ascii="楷体_GB2312" w:hAnsi="楷体_GB2312" w:eastAsia="楷体_GB2312" w:cs="楷体_GB2312"/>
          <w:sz w:val="28"/>
          <w:szCs w:val="28"/>
        </w:rPr>
        <w:t>35</w:t>
      </w:r>
      <w:r>
        <w:rPr>
          <w:rFonts w:hint="eastAsia" w:ascii="楷体_GB2312" w:hAnsi="楷体_GB2312" w:eastAsia="楷体_GB2312" w:cs="楷体_GB2312"/>
          <w:sz w:val="28"/>
          <w:szCs w:val="28"/>
        </w:rPr>
        <w:fldChar w:fldCharType="end"/>
      </w:r>
      <w:r>
        <w:rPr>
          <w:rFonts w:hint="eastAsia" w:ascii="楷体_GB2312" w:hAnsi="楷体_GB2312" w:eastAsia="楷体_GB2312" w:cs="楷体_GB2312"/>
          <w:sz w:val="28"/>
          <w:szCs w:val="28"/>
        </w:rPr>
        <w:fldChar w:fldCharType="end"/>
      </w:r>
    </w:p>
    <w:p w14:paraId="20AC8229">
      <w:pPr>
        <w:pStyle w:val="19"/>
        <w:keepNext w:val="0"/>
        <w:keepLines w:val="0"/>
        <w:pageBreakBefore w:val="0"/>
        <w:widowControl w:val="0"/>
        <w:tabs>
          <w:tab w:val="right" w:leader="dot" w:pos="8845"/>
        </w:tabs>
        <w:kinsoku/>
        <w:wordWrap/>
        <w:overflowPunct/>
        <w:topLinePunct w:val="0"/>
        <w:autoSpaceDE/>
        <w:autoSpaceDN/>
        <w:bidi w:val="0"/>
        <w:adjustRightInd/>
        <w:snapToGrid/>
        <w:spacing w:line="500" w:lineRule="exact"/>
        <w:textAlignment w:val="auto"/>
        <w:rPr>
          <w:sz w:val="28"/>
          <w:szCs w:val="28"/>
        </w:rPr>
      </w:pPr>
      <w:r>
        <w:rPr>
          <w:rFonts w:hint="eastAsia" w:ascii="楷体_GB2312" w:hAnsi="楷体_GB2312" w:eastAsia="楷体_GB2312" w:cs="楷体_GB2312"/>
          <w:sz w:val="28"/>
          <w:szCs w:val="28"/>
        </w:rPr>
        <w:fldChar w:fldCharType="begin"/>
      </w:r>
      <w:r>
        <w:rPr>
          <w:rFonts w:hint="eastAsia" w:ascii="楷体_GB2312" w:hAnsi="楷体_GB2312" w:eastAsia="楷体_GB2312" w:cs="楷体_GB2312"/>
          <w:sz w:val="28"/>
          <w:szCs w:val="28"/>
        </w:rPr>
        <w:instrText xml:space="preserve"> HYPERLINK \l _Toc30557 </w:instrText>
      </w:r>
      <w:r>
        <w:rPr>
          <w:rFonts w:hint="eastAsia" w:ascii="楷体_GB2312" w:hAnsi="楷体_GB2312" w:eastAsia="楷体_GB2312" w:cs="楷体_GB2312"/>
          <w:sz w:val="28"/>
          <w:szCs w:val="28"/>
        </w:rPr>
        <w:fldChar w:fldCharType="separate"/>
      </w:r>
      <w:r>
        <w:rPr>
          <w:rFonts w:hint="eastAsia" w:ascii="楷体_GB2312" w:hAnsi="楷体_GB2312" w:eastAsia="楷体_GB2312" w:cs="楷体_GB2312"/>
          <w:spacing w:val="0"/>
          <w:kern w:val="2"/>
          <w:sz w:val="28"/>
          <w:szCs w:val="28"/>
        </w:rPr>
        <w:t xml:space="preserve">第二节 </w:t>
      </w:r>
      <w:r>
        <w:rPr>
          <w:rFonts w:hint="eastAsia" w:ascii="楷体_GB2312" w:hAnsi="楷体_GB2312" w:eastAsia="楷体_GB2312" w:cs="楷体_GB2312"/>
          <w:spacing w:val="0"/>
          <w:kern w:val="2"/>
          <w:sz w:val="28"/>
          <w:szCs w:val="28"/>
          <w:lang w:val="en-US" w:eastAsia="zh-CN"/>
        </w:rPr>
        <w:t xml:space="preserve"> </w:t>
      </w:r>
      <w:r>
        <w:rPr>
          <w:rFonts w:hint="eastAsia" w:ascii="楷体_GB2312" w:hAnsi="楷体_GB2312" w:eastAsia="楷体_GB2312" w:cs="楷体_GB2312"/>
          <w:spacing w:val="0"/>
          <w:kern w:val="2"/>
          <w:sz w:val="28"/>
          <w:szCs w:val="28"/>
        </w:rPr>
        <w:t>稳住外贸外资基本盘</w:t>
      </w:r>
      <w:r>
        <w:rPr>
          <w:rFonts w:hint="eastAsia" w:ascii="楷体_GB2312" w:hAnsi="楷体_GB2312" w:eastAsia="楷体_GB2312" w:cs="楷体_GB2312"/>
          <w:sz w:val="28"/>
          <w:szCs w:val="28"/>
        </w:rPr>
        <w:tab/>
      </w:r>
      <w:r>
        <w:rPr>
          <w:rFonts w:hint="eastAsia" w:ascii="楷体_GB2312" w:hAnsi="楷体_GB2312" w:eastAsia="楷体_GB2312" w:cs="楷体_GB2312"/>
          <w:sz w:val="28"/>
          <w:szCs w:val="28"/>
        </w:rPr>
        <w:fldChar w:fldCharType="begin"/>
      </w:r>
      <w:r>
        <w:rPr>
          <w:rFonts w:hint="eastAsia" w:ascii="楷体_GB2312" w:hAnsi="楷体_GB2312" w:eastAsia="楷体_GB2312" w:cs="楷体_GB2312"/>
          <w:sz w:val="28"/>
          <w:szCs w:val="28"/>
        </w:rPr>
        <w:instrText xml:space="preserve"> PAGEREF _Toc30557 \h </w:instrText>
      </w:r>
      <w:r>
        <w:rPr>
          <w:rFonts w:hint="eastAsia" w:ascii="楷体_GB2312" w:hAnsi="楷体_GB2312" w:eastAsia="楷体_GB2312" w:cs="楷体_GB2312"/>
          <w:sz w:val="28"/>
          <w:szCs w:val="28"/>
        </w:rPr>
        <w:fldChar w:fldCharType="separate"/>
      </w:r>
      <w:r>
        <w:rPr>
          <w:rFonts w:hint="eastAsia" w:ascii="楷体_GB2312" w:hAnsi="楷体_GB2312" w:eastAsia="楷体_GB2312" w:cs="楷体_GB2312"/>
          <w:sz w:val="28"/>
          <w:szCs w:val="28"/>
        </w:rPr>
        <w:t>36</w:t>
      </w:r>
      <w:r>
        <w:rPr>
          <w:rFonts w:hint="eastAsia" w:ascii="楷体_GB2312" w:hAnsi="楷体_GB2312" w:eastAsia="楷体_GB2312" w:cs="楷体_GB2312"/>
          <w:sz w:val="28"/>
          <w:szCs w:val="28"/>
        </w:rPr>
        <w:fldChar w:fldCharType="end"/>
      </w:r>
      <w:r>
        <w:rPr>
          <w:rFonts w:hint="eastAsia" w:ascii="楷体_GB2312" w:hAnsi="楷体_GB2312" w:eastAsia="楷体_GB2312" w:cs="楷体_GB2312"/>
          <w:sz w:val="28"/>
          <w:szCs w:val="28"/>
        </w:rPr>
        <w:fldChar w:fldCharType="end"/>
      </w:r>
    </w:p>
    <w:p w14:paraId="20747DFF">
      <w:pPr>
        <w:pStyle w:val="17"/>
        <w:keepNext w:val="0"/>
        <w:keepLines w:val="0"/>
        <w:pageBreakBefore w:val="0"/>
        <w:widowControl w:val="0"/>
        <w:tabs>
          <w:tab w:val="right" w:leader="dot" w:pos="8845"/>
        </w:tabs>
        <w:kinsoku/>
        <w:wordWrap/>
        <w:overflowPunct/>
        <w:topLinePunct w:val="0"/>
        <w:autoSpaceDE/>
        <w:autoSpaceDN/>
        <w:bidi w:val="0"/>
        <w:adjustRightInd/>
        <w:snapToGrid/>
        <w:spacing w:line="500" w:lineRule="exact"/>
        <w:textAlignment w:val="auto"/>
        <w:rPr>
          <w:rFonts w:hint="eastAsia" w:ascii="黑体" w:hAnsi="黑体" w:eastAsia="黑体" w:cs="黑体"/>
          <w:sz w:val="28"/>
          <w:szCs w:val="28"/>
        </w:rPr>
      </w:pPr>
      <w:r>
        <w:rPr>
          <w:rFonts w:hint="eastAsia" w:ascii="黑体" w:hAnsi="黑体" w:eastAsia="黑体" w:cs="黑体"/>
          <w:sz w:val="28"/>
          <w:szCs w:val="28"/>
        </w:rPr>
        <w:fldChar w:fldCharType="begin"/>
      </w:r>
      <w:r>
        <w:rPr>
          <w:rFonts w:hint="eastAsia" w:ascii="黑体" w:hAnsi="黑体" w:eastAsia="黑体" w:cs="黑体"/>
          <w:sz w:val="28"/>
          <w:szCs w:val="28"/>
        </w:rPr>
        <w:instrText xml:space="preserve"> HYPERLINK \l _Toc29582 </w:instrText>
      </w:r>
      <w:r>
        <w:rPr>
          <w:rFonts w:hint="eastAsia" w:ascii="黑体" w:hAnsi="黑体" w:eastAsia="黑体" w:cs="黑体"/>
          <w:sz w:val="28"/>
          <w:szCs w:val="28"/>
        </w:rPr>
        <w:fldChar w:fldCharType="separate"/>
      </w:r>
      <w:r>
        <w:rPr>
          <w:rFonts w:hint="eastAsia" w:ascii="黑体" w:hAnsi="黑体" w:eastAsia="黑体" w:cs="黑体"/>
          <w:spacing w:val="0"/>
          <w:kern w:val="2"/>
          <w:sz w:val="28"/>
          <w:szCs w:val="28"/>
        </w:rPr>
        <w:t>第</w:t>
      </w:r>
      <w:r>
        <w:rPr>
          <w:rFonts w:hint="eastAsia" w:ascii="黑体" w:hAnsi="黑体" w:eastAsia="黑体" w:cs="黑体"/>
          <w:spacing w:val="0"/>
          <w:kern w:val="2"/>
          <w:sz w:val="28"/>
          <w:szCs w:val="28"/>
          <w:lang w:eastAsia="zh-CN"/>
        </w:rPr>
        <w:t>九</w:t>
      </w:r>
      <w:r>
        <w:rPr>
          <w:rFonts w:hint="eastAsia" w:ascii="黑体" w:hAnsi="黑体" w:eastAsia="黑体" w:cs="黑体"/>
          <w:spacing w:val="0"/>
          <w:kern w:val="2"/>
          <w:sz w:val="28"/>
          <w:szCs w:val="28"/>
        </w:rPr>
        <w:t xml:space="preserve">章  </w:t>
      </w:r>
      <w:r>
        <w:rPr>
          <w:rFonts w:hint="eastAsia" w:ascii="黑体" w:hAnsi="黑体" w:eastAsia="黑体" w:cs="黑体"/>
          <w:bCs w:val="0"/>
          <w:snapToGrid/>
          <w:spacing w:val="0"/>
          <w:sz w:val="28"/>
          <w:szCs w:val="28"/>
          <w:shd w:val="clear"/>
          <w:lang w:eastAsia="zh-CN"/>
        </w:rPr>
        <w:t>统筹推进</w:t>
      </w:r>
      <w:r>
        <w:rPr>
          <w:rFonts w:hint="eastAsia" w:ascii="黑体" w:hAnsi="黑体" w:eastAsia="黑体" w:cs="黑体"/>
          <w:bCs w:val="0"/>
          <w:snapToGrid/>
          <w:spacing w:val="0"/>
          <w:sz w:val="28"/>
          <w:szCs w:val="28"/>
          <w:shd w:val="clear"/>
        </w:rPr>
        <w:t>新型城镇化和乡村全面振兴</w:t>
      </w:r>
      <w:r>
        <w:rPr>
          <w:rFonts w:hint="eastAsia" w:ascii="黑体" w:hAnsi="黑体" w:eastAsia="黑体" w:cs="黑体"/>
          <w:bCs w:val="0"/>
          <w:snapToGrid/>
          <w:spacing w:val="0"/>
          <w:sz w:val="28"/>
          <w:szCs w:val="28"/>
          <w:shd w:val="clear"/>
          <w:lang w:eastAsia="zh-CN"/>
        </w:rPr>
        <w:t>，促进</w:t>
      </w:r>
      <w:r>
        <w:rPr>
          <w:rFonts w:hint="eastAsia" w:ascii="黑体" w:hAnsi="黑体" w:eastAsia="黑体" w:cs="黑体"/>
          <w:bCs w:val="0"/>
          <w:snapToGrid/>
          <w:spacing w:val="0"/>
          <w:sz w:val="28"/>
          <w:szCs w:val="28"/>
          <w:shd w:val="clear"/>
        </w:rPr>
        <w:t>城乡融合发展</w:t>
      </w:r>
      <w:r>
        <w:rPr>
          <w:rFonts w:hint="eastAsia" w:ascii="黑体" w:hAnsi="黑体" w:eastAsia="黑体" w:cs="黑体"/>
          <w:sz w:val="28"/>
          <w:szCs w:val="28"/>
        </w:rPr>
        <w:tab/>
      </w:r>
      <w:r>
        <w:rPr>
          <w:rFonts w:hint="eastAsia" w:ascii="黑体" w:hAnsi="黑体" w:eastAsia="黑体" w:cs="黑体"/>
          <w:sz w:val="28"/>
          <w:szCs w:val="28"/>
        </w:rPr>
        <w:fldChar w:fldCharType="begin"/>
      </w:r>
      <w:r>
        <w:rPr>
          <w:rFonts w:hint="eastAsia" w:ascii="黑体" w:hAnsi="黑体" w:eastAsia="黑体" w:cs="黑体"/>
          <w:sz w:val="28"/>
          <w:szCs w:val="28"/>
        </w:rPr>
        <w:instrText xml:space="preserve"> PAGEREF _Toc29582 \h </w:instrText>
      </w:r>
      <w:r>
        <w:rPr>
          <w:rFonts w:hint="eastAsia" w:ascii="黑体" w:hAnsi="黑体" w:eastAsia="黑体" w:cs="黑体"/>
          <w:sz w:val="28"/>
          <w:szCs w:val="28"/>
        </w:rPr>
        <w:fldChar w:fldCharType="separate"/>
      </w:r>
      <w:r>
        <w:rPr>
          <w:rFonts w:hint="eastAsia" w:ascii="黑体" w:hAnsi="黑体" w:eastAsia="黑体" w:cs="黑体"/>
          <w:sz w:val="28"/>
          <w:szCs w:val="28"/>
        </w:rPr>
        <w:t>38</w:t>
      </w:r>
      <w:r>
        <w:rPr>
          <w:rFonts w:hint="eastAsia" w:ascii="黑体" w:hAnsi="黑体" w:eastAsia="黑体" w:cs="黑体"/>
          <w:sz w:val="28"/>
          <w:szCs w:val="28"/>
        </w:rPr>
        <w:fldChar w:fldCharType="end"/>
      </w:r>
      <w:r>
        <w:rPr>
          <w:rFonts w:hint="eastAsia" w:ascii="黑体" w:hAnsi="黑体" w:eastAsia="黑体" w:cs="黑体"/>
          <w:sz w:val="28"/>
          <w:szCs w:val="28"/>
        </w:rPr>
        <w:fldChar w:fldCharType="end"/>
      </w:r>
    </w:p>
    <w:p w14:paraId="38EC8F28">
      <w:pPr>
        <w:pStyle w:val="19"/>
        <w:keepNext w:val="0"/>
        <w:keepLines w:val="0"/>
        <w:pageBreakBefore w:val="0"/>
        <w:widowControl w:val="0"/>
        <w:tabs>
          <w:tab w:val="right" w:leader="dot" w:pos="8845"/>
        </w:tabs>
        <w:kinsoku/>
        <w:wordWrap/>
        <w:overflowPunct/>
        <w:topLinePunct w:val="0"/>
        <w:autoSpaceDE/>
        <w:autoSpaceDN/>
        <w:bidi w:val="0"/>
        <w:adjustRightInd/>
        <w:snapToGrid/>
        <w:spacing w:line="500" w:lineRule="exact"/>
        <w:textAlignment w:val="auto"/>
        <w:rPr>
          <w:sz w:val="28"/>
          <w:szCs w:val="28"/>
        </w:rPr>
      </w:pPr>
      <w:r>
        <w:rPr>
          <w:rFonts w:hint="eastAsia" w:ascii="楷体_GB2312" w:hAnsi="楷体_GB2312" w:eastAsia="楷体_GB2312" w:cs="楷体_GB2312"/>
          <w:sz w:val="28"/>
          <w:szCs w:val="28"/>
        </w:rPr>
        <w:fldChar w:fldCharType="begin"/>
      </w:r>
      <w:r>
        <w:rPr>
          <w:rFonts w:hint="eastAsia" w:ascii="楷体_GB2312" w:hAnsi="楷体_GB2312" w:eastAsia="楷体_GB2312" w:cs="楷体_GB2312"/>
          <w:sz w:val="28"/>
          <w:szCs w:val="28"/>
        </w:rPr>
        <w:instrText xml:space="preserve"> HYPERLINK \l _Toc31092 </w:instrText>
      </w:r>
      <w:r>
        <w:rPr>
          <w:rFonts w:hint="eastAsia" w:ascii="楷体_GB2312" w:hAnsi="楷体_GB2312" w:eastAsia="楷体_GB2312" w:cs="楷体_GB2312"/>
          <w:sz w:val="28"/>
          <w:szCs w:val="28"/>
        </w:rPr>
        <w:fldChar w:fldCharType="separate"/>
      </w:r>
      <w:r>
        <w:rPr>
          <w:rFonts w:ascii="楷体_GB2312" w:hAnsi="楷体_GB2312" w:eastAsia="楷体_GB2312" w:cs="楷体_GB2312"/>
          <w:spacing w:val="0"/>
          <w:kern w:val="21"/>
          <w:sz w:val="28"/>
          <w:szCs w:val="28"/>
        </w:rPr>
        <w:t>第</w:t>
      </w:r>
      <w:r>
        <w:rPr>
          <w:rFonts w:hint="eastAsia" w:ascii="楷体_GB2312" w:hAnsi="楷体_GB2312" w:eastAsia="楷体_GB2312" w:cs="楷体_GB2312"/>
          <w:spacing w:val="0"/>
          <w:kern w:val="21"/>
          <w:sz w:val="28"/>
          <w:szCs w:val="28"/>
          <w:lang w:eastAsia="zh-CN"/>
        </w:rPr>
        <w:t>一</w:t>
      </w:r>
      <w:r>
        <w:rPr>
          <w:rFonts w:ascii="楷体_GB2312" w:hAnsi="楷体_GB2312" w:eastAsia="楷体_GB2312" w:cs="楷体_GB2312"/>
          <w:spacing w:val="0"/>
          <w:kern w:val="21"/>
          <w:sz w:val="28"/>
          <w:szCs w:val="28"/>
        </w:rPr>
        <w:t xml:space="preserve">节 </w:t>
      </w:r>
      <w:r>
        <w:rPr>
          <w:rFonts w:hint="eastAsia" w:ascii="楷体_GB2312" w:hAnsi="楷体_GB2312" w:eastAsia="楷体_GB2312" w:cs="楷体_GB2312"/>
          <w:spacing w:val="0"/>
          <w:kern w:val="21"/>
          <w:sz w:val="28"/>
          <w:szCs w:val="28"/>
          <w:lang w:val="en-US" w:eastAsia="zh-CN"/>
        </w:rPr>
        <w:t xml:space="preserve"> 提高城市发展质量</w:t>
      </w:r>
      <w:r>
        <w:rPr>
          <w:rFonts w:hint="eastAsia" w:ascii="楷体_GB2312" w:hAnsi="楷体_GB2312" w:eastAsia="楷体_GB2312" w:cs="楷体_GB2312"/>
          <w:sz w:val="28"/>
          <w:szCs w:val="28"/>
        </w:rPr>
        <w:tab/>
      </w:r>
      <w:r>
        <w:rPr>
          <w:rFonts w:hint="eastAsia" w:ascii="楷体_GB2312" w:hAnsi="楷体_GB2312" w:eastAsia="楷体_GB2312" w:cs="楷体_GB2312"/>
          <w:sz w:val="28"/>
          <w:szCs w:val="28"/>
        </w:rPr>
        <w:fldChar w:fldCharType="begin"/>
      </w:r>
      <w:r>
        <w:rPr>
          <w:rFonts w:hint="eastAsia" w:ascii="楷体_GB2312" w:hAnsi="楷体_GB2312" w:eastAsia="楷体_GB2312" w:cs="楷体_GB2312"/>
          <w:sz w:val="28"/>
          <w:szCs w:val="28"/>
        </w:rPr>
        <w:instrText xml:space="preserve"> PAGEREF _Toc31092 \h </w:instrText>
      </w:r>
      <w:r>
        <w:rPr>
          <w:rFonts w:hint="eastAsia" w:ascii="楷体_GB2312" w:hAnsi="楷体_GB2312" w:eastAsia="楷体_GB2312" w:cs="楷体_GB2312"/>
          <w:sz w:val="28"/>
          <w:szCs w:val="28"/>
        </w:rPr>
        <w:fldChar w:fldCharType="separate"/>
      </w:r>
      <w:r>
        <w:rPr>
          <w:rFonts w:hint="eastAsia" w:ascii="楷体_GB2312" w:hAnsi="楷体_GB2312" w:eastAsia="楷体_GB2312" w:cs="楷体_GB2312"/>
          <w:sz w:val="28"/>
          <w:szCs w:val="28"/>
        </w:rPr>
        <w:t>38</w:t>
      </w:r>
      <w:r>
        <w:rPr>
          <w:rFonts w:hint="eastAsia" w:ascii="楷体_GB2312" w:hAnsi="楷体_GB2312" w:eastAsia="楷体_GB2312" w:cs="楷体_GB2312"/>
          <w:sz w:val="28"/>
          <w:szCs w:val="28"/>
        </w:rPr>
        <w:fldChar w:fldCharType="end"/>
      </w:r>
      <w:r>
        <w:rPr>
          <w:rFonts w:hint="eastAsia" w:ascii="楷体_GB2312" w:hAnsi="楷体_GB2312" w:eastAsia="楷体_GB2312" w:cs="楷体_GB2312"/>
          <w:sz w:val="28"/>
          <w:szCs w:val="28"/>
        </w:rPr>
        <w:fldChar w:fldCharType="end"/>
      </w:r>
    </w:p>
    <w:p w14:paraId="5A6E4BEC">
      <w:pPr>
        <w:pStyle w:val="19"/>
        <w:keepNext w:val="0"/>
        <w:keepLines w:val="0"/>
        <w:pageBreakBefore w:val="0"/>
        <w:widowControl w:val="0"/>
        <w:tabs>
          <w:tab w:val="right" w:leader="dot" w:pos="8845"/>
        </w:tabs>
        <w:kinsoku/>
        <w:wordWrap/>
        <w:overflowPunct/>
        <w:topLinePunct w:val="0"/>
        <w:autoSpaceDE/>
        <w:autoSpaceDN/>
        <w:bidi w:val="0"/>
        <w:adjustRightInd/>
        <w:snapToGrid/>
        <w:spacing w:line="500" w:lineRule="exact"/>
        <w:textAlignment w:val="auto"/>
        <w:rPr>
          <w:sz w:val="28"/>
          <w:szCs w:val="28"/>
        </w:rPr>
      </w:pPr>
      <w:r>
        <w:rPr>
          <w:rFonts w:hint="eastAsia" w:ascii="楷体_GB2312" w:hAnsi="楷体_GB2312" w:eastAsia="楷体_GB2312" w:cs="楷体_GB2312"/>
          <w:sz w:val="28"/>
          <w:szCs w:val="28"/>
        </w:rPr>
        <w:fldChar w:fldCharType="begin"/>
      </w:r>
      <w:r>
        <w:rPr>
          <w:rFonts w:hint="eastAsia" w:ascii="楷体_GB2312" w:hAnsi="楷体_GB2312" w:eastAsia="楷体_GB2312" w:cs="楷体_GB2312"/>
          <w:sz w:val="28"/>
          <w:szCs w:val="28"/>
        </w:rPr>
        <w:instrText xml:space="preserve"> HYPERLINK \l _Toc17868 </w:instrText>
      </w:r>
      <w:r>
        <w:rPr>
          <w:rFonts w:hint="eastAsia" w:ascii="楷体_GB2312" w:hAnsi="楷体_GB2312" w:eastAsia="楷体_GB2312" w:cs="楷体_GB2312"/>
          <w:sz w:val="28"/>
          <w:szCs w:val="28"/>
        </w:rPr>
        <w:fldChar w:fldCharType="separate"/>
      </w:r>
      <w:r>
        <w:rPr>
          <w:rFonts w:hint="eastAsia" w:ascii="楷体_GB2312" w:hAnsi="楷体_GB2312" w:eastAsia="楷体_GB2312" w:cs="楷体_GB2312"/>
          <w:spacing w:val="0"/>
          <w:kern w:val="2"/>
          <w:sz w:val="28"/>
          <w:szCs w:val="28"/>
        </w:rPr>
        <w:t>第</w:t>
      </w:r>
      <w:r>
        <w:rPr>
          <w:rFonts w:hint="eastAsia" w:ascii="楷体_GB2312" w:hAnsi="楷体_GB2312" w:eastAsia="楷体_GB2312" w:cs="楷体_GB2312"/>
          <w:spacing w:val="0"/>
          <w:kern w:val="2"/>
          <w:sz w:val="28"/>
          <w:szCs w:val="28"/>
          <w:lang w:eastAsia="zh-CN"/>
        </w:rPr>
        <w:t>二</w:t>
      </w:r>
      <w:r>
        <w:rPr>
          <w:rFonts w:hint="eastAsia" w:ascii="楷体_GB2312" w:hAnsi="楷体_GB2312" w:eastAsia="楷体_GB2312" w:cs="楷体_GB2312"/>
          <w:spacing w:val="0"/>
          <w:kern w:val="2"/>
          <w:sz w:val="28"/>
          <w:szCs w:val="28"/>
        </w:rPr>
        <w:t xml:space="preserve">节 </w:t>
      </w:r>
      <w:r>
        <w:rPr>
          <w:rFonts w:hint="eastAsia" w:ascii="楷体_GB2312" w:hAnsi="楷体_GB2312" w:eastAsia="楷体_GB2312" w:cs="楷体_GB2312"/>
          <w:spacing w:val="0"/>
          <w:kern w:val="2"/>
          <w:sz w:val="28"/>
          <w:szCs w:val="28"/>
          <w:lang w:val="en-US" w:eastAsia="zh-CN"/>
        </w:rPr>
        <w:t xml:space="preserve"> </w:t>
      </w:r>
      <w:r>
        <w:rPr>
          <w:rFonts w:hint="eastAsia" w:ascii="楷体_GB2312" w:hAnsi="楷体_GB2312" w:eastAsia="楷体_GB2312" w:cs="楷体_GB2312"/>
          <w:spacing w:val="0"/>
          <w:kern w:val="2"/>
          <w:sz w:val="28"/>
          <w:szCs w:val="28"/>
        </w:rPr>
        <w:t>全力推动乡村振兴</w:t>
      </w:r>
      <w:r>
        <w:rPr>
          <w:rFonts w:hint="eastAsia" w:ascii="楷体_GB2312" w:hAnsi="楷体_GB2312" w:eastAsia="楷体_GB2312" w:cs="楷体_GB2312"/>
          <w:sz w:val="28"/>
          <w:szCs w:val="28"/>
        </w:rPr>
        <w:tab/>
      </w:r>
      <w:r>
        <w:rPr>
          <w:rFonts w:hint="eastAsia" w:ascii="楷体_GB2312" w:hAnsi="楷体_GB2312" w:eastAsia="楷体_GB2312" w:cs="楷体_GB2312"/>
          <w:sz w:val="28"/>
          <w:szCs w:val="28"/>
        </w:rPr>
        <w:fldChar w:fldCharType="begin"/>
      </w:r>
      <w:r>
        <w:rPr>
          <w:rFonts w:hint="eastAsia" w:ascii="楷体_GB2312" w:hAnsi="楷体_GB2312" w:eastAsia="楷体_GB2312" w:cs="楷体_GB2312"/>
          <w:sz w:val="28"/>
          <w:szCs w:val="28"/>
        </w:rPr>
        <w:instrText xml:space="preserve"> PAGEREF _Toc17868 \h </w:instrText>
      </w:r>
      <w:r>
        <w:rPr>
          <w:rFonts w:hint="eastAsia" w:ascii="楷体_GB2312" w:hAnsi="楷体_GB2312" w:eastAsia="楷体_GB2312" w:cs="楷体_GB2312"/>
          <w:sz w:val="28"/>
          <w:szCs w:val="28"/>
        </w:rPr>
        <w:fldChar w:fldCharType="separate"/>
      </w:r>
      <w:r>
        <w:rPr>
          <w:rFonts w:hint="eastAsia" w:ascii="楷体_GB2312" w:hAnsi="楷体_GB2312" w:eastAsia="楷体_GB2312" w:cs="楷体_GB2312"/>
          <w:sz w:val="28"/>
          <w:szCs w:val="28"/>
        </w:rPr>
        <w:t>39</w:t>
      </w:r>
      <w:r>
        <w:rPr>
          <w:rFonts w:hint="eastAsia" w:ascii="楷体_GB2312" w:hAnsi="楷体_GB2312" w:eastAsia="楷体_GB2312" w:cs="楷体_GB2312"/>
          <w:sz w:val="28"/>
          <w:szCs w:val="28"/>
        </w:rPr>
        <w:fldChar w:fldCharType="end"/>
      </w:r>
      <w:r>
        <w:rPr>
          <w:rFonts w:hint="eastAsia" w:ascii="楷体_GB2312" w:hAnsi="楷体_GB2312" w:eastAsia="楷体_GB2312" w:cs="楷体_GB2312"/>
          <w:sz w:val="28"/>
          <w:szCs w:val="28"/>
        </w:rPr>
        <w:fldChar w:fldCharType="end"/>
      </w:r>
    </w:p>
    <w:p w14:paraId="5D793E04">
      <w:pPr>
        <w:pStyle w:val="17"/>
        <w:keepNext w:val="0"/>
        <w:keepLines w:val="0"/>
        <w:pageBreakBefore w:val="0"/>
        <w:widowControl w:val="0"/>
        <w:tabs>
          <w:tab w:val="right" w:leader="dot" w:pos="8845"/>
        </w:tabs>
        <w:kinsoku/>
        <w:wordWrap/>
        <w:overflowPunct/>
        <w:topLinePunct w:val="0"/>
        <w:autoSpaceDE/>
        <w:autoSpaceDN/>
        <w:bidi w:val="0"/>
        <w:adjustRightInd/>
        <w:snapToGrid/>
        <w:spacing w:line="500" w:lineRule="exact"/>
        <w:textAlignment w:val="auto"/>
        <w:rPr>
          <w:rFonts w:hint="eastAsia" w:ascii="黑体" w:hAnsi="黑体" w:eastAsia="黑体" w:cs="黑体"/>
          <w:sz w:val="28"/>
          <w:szCs w:val="28"/>
        </w:rPr>
      </w:pPr>
      <w:r>
        <w:rPr>
          <w:rFonts w:hint="eastAsia" w:ascii="黑体" w:hAnsi="黑体" w:eastAsia="黑体" w:cs="黑体"/>
          <w:sz w:val="28"/>
          <w:szCs w:val="28"/>
        </w:rPr>
        <w:fldChar w:fldCharType="begin"/>
      </w:r>
      <w:r>
        <w:rPr>
          <w:rFonts w:hint="eastAsia" w:ascii="黑体" w:hAnsi="黑体" w:eastAsia="黑体" w:cs="黑体"/>
          <w:sz w:val="28"/>
          <w:szCs w:val="28"/>
        </w:rPr>
        <w:instrText xml:space="preserve"> HYPERLINK \l _Toc13239 </w:instrText>
      </w:r>
      <w:r>
        <w:rPr>
          <w:rFonts w:hint="eastAsia" w:ascii="黑体" w:hAnsi="黑体" w:eastAsia="黑体" w:cs="黑体"/>
          <w:sz w:val="28"/>
          <w:szCs w:val="28"/>
        </w:rPr>
        <w:fldChar w:fldCharType="separate"/>
      </w:r>
      <w:r>
        <w:rPr>
          <w:rFonts w:hint="eastAsia" w:ascii="黑体" w:hAnsi="黑体" w:eastAsia="黑体" w:cs="黑体"/>
          <w:kern w:val="2"/>
          <w:sz w:val="28"/>
          <w:szCs w:val="28"/>
        </w:rPr>
        <w:t>第</w:t>
      </w:r>
      <w:r>
        <w:rPr>
          <w:rFonts w:hint="eastAsia" w:ascii="黑体" w:hAnsi="黑体" w:eastAsia="黑体" w:cs="黑体"/>
          <w:kern w:val="2"/>
          <w:sz w:val="28"/>
          <w:szCs w:val="28"/>
          <w:lang w:eastAsia="zh-CN"/>
        </w:rPr>
        <w:t>十</w:t>
      </w:r>
      <w:r>
        <w:rPr>
          <w:rFonts w:hint="eastAsia" w:ascii="黑体" w:hAnsi="黑体" w:eastAsia="黑体" w:cs="黑体"/>
          <w:kern w:val="2"/>
          <w:sz w:val="28"/>
          <w:szCs w:val="28"/>
        </w:rPr>
        <w:t xml:space="preserve">章  </w:t>
      </w:r>
      <w:r>
        <w:rPr>
          <w:rFonts w:hint="eastAsia" w:ascii="黑体" w:hAnsi="黑体" w:eastAsia="黑体" w:cs="黑体"/>
          <w:bCs w:val="0"/>
          <w:snapToGrid/>
          <w:spacing w:val="0"/>
          <w:sz w:val="28"/>
          <w:szCs w:val="28"/>
          <w:shd w:val="clear" w:color="auto" w:fill="auto"/>
        </w:rPr>
        <w:t>高水平建设文化强区，以文化赋能经济社会发展</w:t>
      </w:r>
      <w:r>
        <w:rPr>
          <w:rFonts w:hint="eastAsia" w:ascii="黑体" w:hAnsi="黑体" w:eastAsia="黑体" w:cs="黑体"/>
          <w:sz w:val="28"/>
          <w:szCs w:val="28"/>
        </w:rPr>
        <w:tab/>
      </w:r>
      <w:r>
        <w:rPr>
          <w:rFonts w:hint="eastAsia" w:ascii="黑体" w:hAnsi="黑体" w:eastAsia="黑体" w:cs="黑体"/>
          <w:sz w:val="28"/>
          <w:szCs w:val="28"/>
        </w:rPr>
        <w:fldChar w:fldCharType="begin"/>
      </w:r>
      <w:r>
        <w:rPr>
          <w:rFonts w:hint="eastAsia" w:ascii="黑体" w:hAnsi="黑体" w:eastAsia="黑体" w:cs="黑体"/>
          <w:sz w:val="28"/>
          <w:szCs w:val="28"/>
        </w:rPr>
        <w:instrText xml:space="preserve"> PAGEREF _Toc13239 \h </w:instrText>
      </w:r>
      <w:r>
        <w:rPr>
          <w:rFonts w:hint="eastAsia" w:ascii="黑体" w:hAnsi="黑体" w:eastAsia="黑体" w:cs="黑体"/>
          <w:sz w:val="28"/>
          <w:szCs w:val="28"/>
        </w:rPr>
        <w:fldChar w:fldCharType="separate"/>
      </w:r>
      <w:r>
        <w:rPr>
          <w:rFonts w:hint="eastAsia" w:ascii="黑体" w:hAnsi="黑体" w:eastAsia="黑体" w:cs="黑体"/>
          <w:sz w:val="28"/>
          <w:szCs w:val="28"/>
        </w:rPr>
        <w:t>43</w:t>
      </w:r>
      <w:r>
        <w:rPr>
          <w:rFonts w:hint="eastAsia" w:ascii="黑体" w:hAnsi="黑体" w:eastAsia="黑体" w:cs="黑体"/>
          <w:sz w:val="28"/>
          <w:szCs w:val="28"/>
        </w:rPr>
        <w:fldChar w:fldCharType="end"/>
      </w:r>
      <w:r>
        <w:rPr>
          <w:rFonts w:hint="eastAsia" w:ascii="黑体" w:hAnsi="黑体" w:eastAsia="黑体" w:cs="黑体"/>
          <w:sz w:val="28"/>
          <w:szCs w:val="28"/>
        </w:rPr>
        <w:fldChar w:fldCharType="end"/>
      </w:r>
    </w:p>
    <w:p w14:paraId="0807BFE7">
      <w:pPr>
        <w:pStyle w:val="19"/>
        <w:keepNext w:val="0"/>
        <w:keepLines w:val="0"/>
        <w:pageBreakBefore w:val="0"/>
        <w:widowControl w:val="0"/>
        <w:tabs>
          <w:tab w:val="right" w:leader="dot" w:pos="8845"/>
        </w:tabs>
        <w:kinsoku/>
        <w:wordWrap/>
        <w:overflowPunct/>
        <w:topLinePunct w:val="0"/>
        <w:autoSpaceDE/>
        <w:autoSpaceDN/>
        <w:bidi w:val="0"/>
        <w:adjustRightInd/>
        <w:snapToGrid/>
        <w:spacing w:line="500" w:lineRule="exact"/>
        <w:textAlignment w:val="auto"/>
        <w:rPr>
          <w:rFonts w:hint="eastAsia" w:ascii="仿宋_GB2312" w:hAnsi="仿宋_GB2312" w:eastAsia="仿宋_GB2312" w:cs="仿宋_GB2312"/>
          <w:sz w:val="28"/>
          <w:szCs w:val="28"/>
        </w:rPr>
      </w:pPr>
      <w:r>
        <w:rPr>
          <w:rFonts w:hint="eastAsia" w:ascii="楷体_GB2312" w:hAnsi="楷体_GB2312" w:eastAsia="楷体_GB2312" w:cs="楷体_GB2312"/>
          <w:sz w:val="28"/>
          <w:szCs w:val="28"/>
        </w:rPr>
        <w:fldChar w:fldCharType="begin"/>
      </w:r>
      <w:r>
        <w:rPr>
          <w:rFonts w:hint="eastAsia" w:ascii="楷体_GB2312" w:hAnsi="楷体_GB2312" w:eastAsia="楷体_GB2312" w:cs="楷体_GB2312"/>
          <w:sz w:val="28"/>
          <w:szCs w:val="28"/>
        </w:rPr>
        <w:instrText xml:space="preserve"> HYPERLINK \l _Toc8223 </w:instrText>
      </w:r>
      <w:r>
        <w:rPr>
          <w:rFonts w:hint="eastAsia" w:ascii="楷体_GB2312" w:hAnsi="楷体_GB2312" w:eastAsia="楷体_GB2312" w:cs="楷体_GB2312"/>
          <w:sz w:val="28"/>
          <w:szCs w:val="28"/>
        </w:rPr>
        <w:fldChar w:fldCharType="separate"/>
      </w:r>
      <w:r>
        <w:rPr>
          <w:rFonts w:hint="eastAsia" w:ascii="楷体_GB2312" w:hAnsi="楷体_GB2312" w:eastAsia="楷体_GB2312" w:cs="楷体_GB2312"/>
          <w:kern w:val="0"/>
          <w:sz w:val="28"/>
          <w:szCs w:val="28"/>
        </w:rPr>
        <w:t>第</w:t>
      </w:r>
      <w:r>
        <w:rPr>
          <w:rFonts w:hint="eastAsia" w:ascii="楷体_GB2312" w:hAnsi="楷体_GB2312" w:eastAsia="楷体_GB2312" w:cs="楷体_GB2312"/>
          <w:kern w:val="2"/>
          <w:sz w:val="28"/>
          <w:szCs w:val="28"/>
          <w:lang w:eastAsia="zh-CN"/>
        </w:rPr>
        <w:t>一</w:t>
      </w:r>
      <w:r>
        <w:rPr>
          <w:rFonts w:hint="eastAsia" w:ascii="楷体_GB2312" w:hAnsi="楷体_GB2312" w:eastAsia="楷体_GB2312" w:cs="楷体_GB2312"/>
          <w:kern w:val="0"/>
          <w:sz w:val="28"/>
          <w:szCs w:val="28"/>
        </w:rPr>
        <w:t xml:space="preserve">节 </w:t>
      </w:r>
      <w:r>
        <w:rPr>
          <w:rFonts w:hint="eastAsia" w:ascii="楷体_GB2312" w:hAnsi="楷体_GB2312" w:eastAsia="楷体_GB2312" w:cs="楷体_GB2312"/>
          <w:kern w:val="0"/>
          <w:sz w:val="28"/>
          <w:szCs w:val="28"/>
          <w:lang w:val="en-US" w:eastAsia="zh-CN"/>
        </w:rPr>
        <w:t xml:space="preserve"> </w:t>
      </w:r>
      <w:r>
        <w:rPr>
          <w:rFonts w:hint="eastAsia" w:ascii="楷体_GB2312" w:hAnsi="楷体_GB2312" w:eastAsia="楷体_GB2312" w:cs="楷体_GB2312"/>
          <w:sz w:val="28"/>
          <w:szCs w:val="28"/>
        </w:rPr>
        <w:t>弘扬和践行社会主义核心价值观</w:t>
      </w:r>
      <w:r>
        <w:rPr>
          <w:rFonts w:hint="eastAsia" w:ascii="楷体_GB2312" w:hAnsi="楷体_GB2312" w:eastAsia="楷体_GB2312" w:cs="楷体_GB2312"/>
          <w:sz w:val="28"/>
          <w:szCs w:val="28"/>
        </w:rPr>
        <w:tab/>
      </w:r>
      <w:r>
        <w:rPr>
          <w:rFonts w:hint="eastAsia" w:ascii="楷体_GB2312" w:hAnsi="楷体_GB2312" w:eastAsia="楷体_GB2312" w:cs="楷体_GB2312"/>
          <w:sz w:val="28"/>
          <w:szCs w:val="28"/>
        </w:rPr>
        <w:fldChar w:fldCharType="begin"/>
      </w:r>
      <w:r>
        <w:rPr>
          <w:rFonts w:hint="eastAsia" w:ascii="楷体_GB2312" w:hAnsi="楷体_GB2312" w:eastAsia="楷体_GB2312" w:cs="楷体_GB2312"/>
          <w:sz w:val="28"/>
          <w:szCs w:val="28"/>
        </w:rPr>
        <w:instrText xml:space="preserve"> PAGEREF _Toc8223 \h </w:instrText>
      </w:r>
      <w:r>
        <w:rPr>
          <w:rFonts w:hint="eastAsia" w:ascii="楷体_GB2312" w:hAnsi="楷体_GB2312" w:eastAsia="楷体_GB2312" w:cs="楷体_GB2312"/>
          <w:sz w:val="28"/>
          <w:szCs w:val="28"/>
        </w:rPr>
        <w:fldChar w:fldCharType="separate"/>
      </w:r>
      <w:r>
        <w:rPr>
          <w:rFonts w:hint="eastAsia" w:ascii="楷体_GB2312" w:hAnsi="楷体_GB2312" w:eastAsia="楷体_GB2312" w:cs="楷体_GB2312"/>
          <w:sz w:val="28"/>
          <w:szCs w:val="28"/>
        </w:rPr>
        <w:t>43</w:t>
      </w:r>
      <w:r>
        <w:rPr>
          <w:rFonts w:hint="eastAsia" w:ascii="楷体_GB2312" w:hAnsi="楷体_GB2312" w:eastAsia="楷体_GB2312" w:cs="楷体_GB2312"/>
          <w:sz w:val="28"/>
          <w:szCs w:val="28"/>
        </w:rPr>
        <w:fldChar w:fldCharType="end"/>
      </w:r>
      <w:r>
        <w:rPr>
          <w:rFonts w:hint="eastAsia" w:ascii="楷体_GB2312" w:hAnsi="楷体_GB2312" w:eastAsia="楷体_GB2312" w:cs="楷体_GB2312"/>
          <w:sz w:val="28"/>
          <w:szCs w:val="28"/>
        </w:rPr>
        <w:fldChar w:fldCharType="end"/>
      </w:r>
    </w:p>
    <w:p w14:paraId="7B0B96D7">
      <w:pPr>
        <w:pStyle w:val="19"/>
        <w:keepNext w:val="0"/>
        <w:keepLines w:val="0"/>
        <w:pageBreakBefore w:val="0"/>
        <w:widowControl w:val="0"/>
        <w:tabs>
          <w:tab w:val="right" w:leader="dot" w:pos="8845"/>
        </w:tabs>
        <w:kinsoku/>
        <w:wordWrap/>
        <w:overflowPunct/>
        <w:topLinePunct w:val="0"/>
        <w:autoSpaceDE/>
        <w:autoSpaceDN/>
        <w:bidi w:val="0"/>
        <w:adjustRightInd/>
        <w:snapToGrid/>
        <w:spacing w:line="500" w:lineRule="exact"/>
        <w:textAlignment w:val="auto"/>
        <w:rPr>
          <w:sz w:val="28"/>
          <w:szCs w:val="28"/>
        </w:rPr>
      </w:pPr>
      <w:r>
        <w:rPr>
          <w:rFonts w:hint="eastAsia" w:ascii="楷体_GB2312" w:hAnsi="楷体_GB2312" w:eastAsia="楷体_GB2312" w:cs="楷体_GB2312"/>
          <w:sz w:val="28"/>
          <w:szCs w:val="28"/>
        </w:rPr>
        <w:fldChar w:fldCharType="begin"/>
      </w:r>
      <w:r>
        <w:rPr>
          <w:rFonts w:hint="eastAsia" w:ascii="楷体_GB2312" w:hAnsi="楷体_GB2312" w:eastAsia="楷体_GB2312" w:cs="楷体_GB2312"/>
          <w:sz w:val="28"/>
          <w:szCs w:val="28"/>
        </w:rPr>
        <w:instrText xml:space="preserve"> HYPERLINK \l _Toc21659 </w:instrText>
      </w:r>
      <w:r>
        <w:rPr>
          <w:rFonts w:hint="eastAsia" w:ascii="楷体_GB2312" w:hAnsi="楷体_GB2312" w:eastAsia="楷体_GB2312" w:cs="楷体_GB2312"/>
          <w:sz w:val="28"/>
          <w:szCs w:val="28"/>
        </w:rPr>
        <w:fldChar w:fldCharType="separate"/>
      </w:r>
      <w:r>
        <w:rPr>
          <w:rFonts w:hint="eastAsia" w:ascii="楷体_GB2312" w:hAnsi="楷体_GB2312" w:eastAsia="楷体_GB2312" w:cs="楷体_GB2312"/>
          <w:kern w:val="0"/>
          <w:sz w:val="28"/>
          <w:szCs w:val="28"/>
        </w:rPr>
        <w:t>第</w:t>
      </w:r>
      <w:r>
        <w:rPr>
          <w:rFonts w:hint="eastAsia" w:ascii="楷体_GB2312" w:hAnsi="楷体_GB2312" w:eastAsia="楷体_GB2312" w:cs="楷体_GB2312"/>
          <w:kern w:val="2"/>
          <w:sz w:val="28"/>
          <w:szCs w:val="28"/>
          <w:lang w:eastAsia="zh-CN"/>
        </w:rPr>
        <w:t>二</w:t>
      </w:r>
      <w:r>
        <w:rPr>
          <w:rFonts w:hint="eastAsia" w:ascii="楷体_GB2312" w:hAnsi="楷体_GB2312" w:eastAsia="楷体_GB2312" w:cs="楷体_GB2312"/>
          <w:kern w:val="0"/>
          <w:sz w:val="28"/>
          <w:szCs w:val="28"/>
        </w:rPr>
        <w:t xml:space="preserve">节 </w:t>
      </w:r>
      <w:r>
        <w:rPr>
          <w:rFonts w:hint="eastAsia" w:ascii="楷体_GB2312" w:hAnsi="楷体_GB2312" w:eastAsia="楷体_GB2312" w:cs="楷体_GB2312"/>
          <w:kern w:val="0"/>
          <w:sz w:val="28"/>
          <w:szCs w:val="28"/>
          <w:lang w:val="en-US" w:eastAsia="zh-CN"/>
        </w:rPr>
        <w:t xml:space="preserve"> </w:t>
      </w:r>
      <w:r>
        <w:rPr>
          <w:rFonts w:hint="eastAsia" w:ascii="楷体_GB2312" w:hAnsi="楷体_GB2312" w:eastAsia="楷体_GB2312" w:cs="楷体_GB2312"/>
          <w:sz w:val="28"/>
          <w:szCs w:val="28"/>
          <w:lang w:eastAsia="zh-CN"/>
        </w:rPr>
        <w:t>增强文化软实力</w:t>
      </w:r>
      <w:r>
        <w:rPr>
          <w:rFonts w:hint="eastAsia" w:ascii="楷体_GB2312" w:hAnsi="楷体_GB2312" w:eastAsia="楷体_GB2312" w:cs="楷体_GB2312"/>
          <w:sz w:val="28"/>
          <w:szCs w:val="28"/>
        </w:rPr>
        <w:tab/>
      </w:r>
      <w:r>
        <w:rPr>
          <w:rFonts w:hint="eastAsia" w:ascii="楷体_GB2312" w:hAnsi="楷体_GB2312" w:eastAsia="楷体_GB2312" w:cs="楷体_GB2312"/>
          <w:sz w:val="28"/>
          <w:szCs w:val="28"/>
        </w:rPr>
        <w:fldChar w:fldCharType="begin"/>
      </w:r>
      <w:r>
        <w:rPr>
          <w:rFonts w:hint="eastAsia" w:ascii="楷体_GB2312" w:hAnsi="楷体_GB2312" w:eastAsia="楷体_GB2312" w:cs="楷体_GB2312"/>
          <w:sz w:val="28"/>
          <w:szCs w:val="28"/>
        </w:rPr>
        <w:instrText xml:space="preserve"> PAGEREF _Toc21659 \h </w:instrText>
      </w:r>
      <w:r>
        <w:rPr>
          <w:rFonts w:hint="eastAsia" w:ascii="楷体_GB2312" w:hAnsi="楷体_GB2312" w:eastAsia="楷体_GB2312" w:cs="楷体_GB2312"/>
          <w:sz w:val="28"/>
          <w:szCs w:val="28"/>
        </w:rPr>
        <w:fldChar w:fldCharType="separate"/>
      </w:r>
      <w:r>
        <w:rPr>
          <w:rFonts w:hint="eastAsia" w:ascii="楷体_GB2312" w:hAnsi="楷体_GB2312" w:eastAsia="楷体_GB2312" w:cs="楷体_GB2312"/>
          <w:sz w:val="28"/>
          <w:szCs w:val="28"/>
        </w:rPr>
        <w:t>44</w:t>
      </w:r>
      <w:r>
        <w:rPr>
          <w:rFonts w:hint="eastAsia" w:ascii="楷体_GB2312" w:hAnsi="楷体_GB2312" w:eastAsia="楷体_GB2312" w:cs="楷体_GB2312"/>
          <w:sz w:val="28"/>
          <w:szCs w:val="28"/>
        </w:rPr>
        <w:fldChar w:fldCharType="end"/>
      </w:r>
      <w:r>
        <w:rPr>
          <w:rFonts w:hint="eastAsia" w:ascii="楷体_GB2312" w:hAnsi="楷体_GB2312" w:eastAsia="楷体_GB2312" w:cs="楷体_GB2312"/>
          <w:sz w:val="28"/>
          <w:szCs w:val="28"/>
        </w:rPr>
        <w:fldChar w:fldCharType="end"/>
      </w:r>
    </w:p>
    <w:p w14:paraId="5076B90F">
      <w:pPr>
        <w:pStyle w:val="17"/>
        <w:keepNext w:val="0"/>
        <w:keepLines w:val="0"/>
        <w:pageBreakBefore w:val="0"/>
        <w:widowControl w:val="0"/>
        <w:tabs>
          <w:tab w:val="right" w:leader="dot" w:pos="8845"/>
        </w:tabs>
        <w:kinsoku/>
        <w:wordWrap/>
        <w:overflowPunct/>
        <w:topLinePunct w:val="0"/>
        <w:autoSpaceDE/>
        <w:autoSpaceDN/>
        <w:bidi w:val="0"/>
        <w:adjustRightInd/>
        <w:snapToGrid/>
        <w:spacing w:line="500" w:lineRule="exact"/>
        <w:textAlignment w:val="auto"/>
        <w:rPr>
          <w:rFonts w:hint="eastAsia" w:ascii="黑体" w:hAnsi="黑体" w:eastAsia="黑体" w:cs="黑体"/>
          <w:sz w:val="28"/>
          <w:szCs w:val="28"/>
        </w:rPr>
      </w:pPr>
      <w:r>
        <w:rPr>
          <w:rFonts w:hint="eastAsia" w:ascii="黑体" w:hAnsi="黑体" w:eastAsia="黑体" w:cs="黑体"/>
          <w:sz w:val="28"/>
          <w:szCs w:val="28"/>
        </w:rPr>
        <w:fldChar w:fldCharType="begin"/>
      </w:r>
      <w:r>
        <w:rPr>
          <w:rFonts w:hint="eastAsia" w:ascii="黑体" w:hAnsi="黑体" w:eastAsia="黑体" w:cs="黑体"/>
          <w:sz w:val="28"/>
          <w:szCs w:val="28"/>
        </w:rPr>
        <w:instrText xml:space="preserve"> HYPERLINK \l _Toc14270 </w:instrText>
      </w:r>
      <w:r>
        <w:rPr>
          <w:rFonts w:hint="eastAsia" w:ascii="黑体" w:hAnsi="黑体" w:eastAsia="黑体" w:cs="黑体"/>
          <w:sz w:val="28"/>
          <w:szCs w:val="28"/>
        </w:rPr>
        <w:fldChar w:fldCharType="separate"/>
      </w:r>
      <w:r>
        <w:rPr>
          <w:rFonts w:hint="eastAsia" w:ascii="黑体" w:hAnsi="黑体" w:eastAsia="黑体" w:cs="黑体"/>
          <w:sz w:val="28"/>
          <w:szCs w:val="28"/>
        </w:rPr>
        <w:t>第</w:t>
      </w:r>
      <w:r>
        <w:rPr>
          <w:rFonts w:hint="eastAsia" w:ascii="黑体" w:hAnsi="黑体" w:eastAsia="黑体" w:cs="黑体"/>
          <w:sz w:val="28"/>
          <w:szCs w:val="28"/>
          <w:lang w:eastAsia="zh-CN"/>
        </w:rPr>
        <w:t>十一</w:t>
      </w:r>
      <w:r>
        <w:rPr>
          <w:rFonts w:hint="eastAsia" w:ascii="黑体" w:hAnsi="黑体" w:eastAsia="黑体" w:cs="黑体"/>
          <w:sz w:val="28"/>
          <w:szCs w:val="28"/>
        </w:rPr>
        <w:t xml:space="preserve">章  </w:t>
      </w:r>
      <w:r>
        <w:rPr>
          <w:rFonts w:hint="eastAsia" w:ascii="黑体" w:hAnsi="黑体" w:eastAsia="黑体" w:cs="黑体"/>
          <w:sz w:val="28"/>
          <w:szCs w:val="28"/>
          <w:lang w:val="en-US" w:eastAsia="zh-CN"/>
        </w:rPr>
        <w:t>在发展中</w:t>
      </w:r>
      <w:r>
        <w:rPr>
          <w:rFonts w:hint="eastAsia" w:ascii="黑体" w:hAnsi="黑体" w:eastAsia="黑体" w:cs="黑体"/>
          <w:sz w:val="28"/>
          <w:szCs w:val="28"/>
        </w:rPr>
        <w:t>保障和改善民生，</w:t>
      </w:r>
      <w:r>
        <w:rPr>
          <w:rFonts w:hint="eastAsia" w:ascii="黑体" w:hAnsi="黑体" w:eastAsia="黑体" w:cs="黑体"/>
          <w:sz w:val="28"/>
          <w:szCs w:val="28"/>
          <w:lang w:val="en-US" w:eastAsia="zh-CN"/>
        </w:rPr>
        <w:t>更好满足人民对美好生活的向往</w:t>
      </w:r>
      <w:r>
        <w:rPr>
          <w:rFonts w:hint="eastAsia" w:ascii="黑体" w:hAnsi="黑体" w:eastAsia="黑体" w:cs="黑体"/>
          <w:sz w:val="28"/>
          <w:szCs w:val="28"/>
        </w:rPr>
        <w:tab/>
      </w:r>
      <w:r>
        <w:rPr>
          <w:rFonts w:hint="eastAsia" w:ascii="黑体" w:hAnsi="黑体" w:eastAsia="黑体" w:cs="黑体"/>
          <w:sz w:val="28"/>
          <w:szCs w:val="28"/>
        </w:rPr>
        <w:fldChar w:fldCharType="begin"/>
      </w:r>
      <w:r>
        <w:rPr>
          <w:rFonts w:hint="eastAsia" w:ascii="黑体" w:hAnsi="黑体" w:eastAsia="黑体" w:cs="黑体"/>
          <w:sz w:val="28"/>
          <w:szCs w:val="28"/>
        </w:rPr>
        <w:instrText xml:space="preserve"> PAGEREF _Toc14270 \h </w:instrText>
      </w:r>
      <w:r>
        <w:rPr>
          <w:rFonts w:hint="eastAsia" w:ascii="黑体" w:hAnsi="黑体" w:eastAsia="黑体" w:cs="黑体"/>
          <w:sz w:val="28"/>
          <w:szCs w:val="28"/>
        </w:rPr>
        <w:fldChar w:fldCharType="separate"/>
      </w:r>
      <w:r>
        <w:rPr>
          <w:rFonts w:hint="eastAsia" w:ascii="黑体" w:hAnsi="黑体" w:eastAsia="黑体" w:cs="黑体"/>
          <w:sz w:val="28"/>
          <w:szCs w:val="28"/>
        </w:rPr>
        <w:t>47</w:t>
      </w:r>
      <w:r>
        <w:rPr>
          <w:rFonts w:hint="eastAsia" w:ascii="黑体" w:hAnsi="黑体" w:eastAsia="黑体" w:cs="黑体"/>
          <w:sz w:val="28"/>
          <w:szCs w:val="28"/>
        </w:rPr>
        <w:fldChar w:fldCharType="end"/>
      </w:r>
      <w:r>
        <w:rPr>
          <w:rFonts w:hint="eastAsia" w:ascii="黑体" w:hAnsi="黑体" w:eastAsia="黑体" w:cs="黑体"/>
          <w:sz w:val="28"/>
          <w:szCs w:val="28"/>
        </w:rPr>
        <w:fldChar w:fldCharType="end"/>
      </w:r>
    </w:p>
    <w:p w14:paraId="0648B760">
      <w:pPr>
        <w:pStyle w:val="19"/>
        <w:keepNext w:val="0"/>
        <w:keepLines w:val="0"/>
        <w:pageBreakBefore w:val="0"/>
        <w:widowControl w:val="0"/>
        <w:tabs>
          <w:tab w:val="right" w:leader="dot" w:pos="8845"/>
        </w:tabs>
        <w:kinsoku/>
        <w:wordWrap/>
        <w:overflowPunct/>
        <w:topLinePunct w:val="0"/>
        <w:autoSpaceDE/>
        <w:autoSpaceDN/>
        <w:bidi w:val="0"/>
        <w:adjustRightInd/>
        <w:snapToGrid/>
        <w:spacing w:line="500" w:lineRule="exact"/>
        <w:textAlignment w:val="auto"/>
        <w:rPr>
          <w:sz w:val="28"/>
          <w:szCs w:val="28"/>
        </w:rPr>
      </w:pPr>
      <w:r>
        <w:rPr>
          <w:rFonts w:hint="eastAsia" w:ascii="楷体_GB2312" w:hAnsi="楷体_GB2312" w:eastAsia="楷体_GB2312" w:cs="楷体_GB2312"/>
          <w:sz w:val="28"/>
          <w:szCs w:val="28"/>
        </w:rPr>
        <w:fldChar w:fldCharType="begin"/>
      </w:r>
      <w:r>
        <w:rPr>
          <w:rFonts w:hint="eastAsia" w:ascii="楷体_GB2312" w:hAnsi="楷体_GB2312" w:eastAsia="楷体_GB2312" w:cs="楷体_GB2312"/>
          <w:sz w:val="28"/>
          <w:szCs w:val="28"/>
        </w:rPr>
        <w:instrText xml:space="preserve"> HYPERLINK \l _Toc30016 </w:instrText>
      </w:r>
      <w:r>
        <w:rPr>
          <w:rFonts w:hint="eastAsia" w:ascii="楷体_GB2312" w:hAnsi="楷体_GB2312" w:eastAsia="楷体_GB2312" w:cs="楷体_GB2312"/>
          <w:sz w:val="28"/>
          <w:szCs w:val="28"/>
        </w:rPr>
        <w:fldChar w:fldCharType="separate"/>
      </w:r>
      <w:r>
        <w:rPr>
          <w:rFonts w:hint="eastAsia" w:ascii="楷体_GB2312" w:hAnsi="楷体_GB2312" w:eastAsia="楷体_GB2312" w:cs="楷体_GB2312"/>
          <w:kern w:val="21"/>
          <w:sz w:val="28"/>
          <w:szCs w:val="28"/>
        </w:rPr>
        <w:t xml:space="preserve">第一节 </w:t>
      </w:r>
      <w:r>
        <w:rPr>
          <w:rFonts w:hint="eastAsia" w:ascii="楷体_GB2312" w:hAnsi="楷体_GB2312" w:eastAsia="楷体_GB2312" w:cs="楷体_GB2312"/>
          <w:kern w:val="21"/>
          <w:sz w:val="28"/>
          <w:szCs w:val="28"/>
          <w:lang w:val="en-US" w:eastAsia="zh-CN"/>
        </w:rPr>
        <w:t xml:space="preserve"> </w:t>
      </w:r>
      <w:r>
        <w:rPr>
          <w:rFonts w:hint="eastAsia" w:ascii="楷体_GB2312" w:hAnsi="楷体_GB2312" w:eastAsia="楷体_GB2312" w:cs="楷体_GB2312"/>
          <w:kern w:val="21"/>
          <w:sz w:val="28"/>
          <w:szCs w:val="28"/>
        </w:rPr>
        <w:t>持续优化公共服务</w:t>
      </w:r>
      <w:r>
        <w:rPr>
          <w:rFonts w:hint="eastAsia" w:ascii="楷体_GB2312" w:hAnsi="楷体_GB2312" w:eastAsia="楷体_GB2312" w:cs="楷体_GB2312"/>
          <w:sz w:val="28"/>
          <w:szCs w:val="28"/>
        </w:rPr>
        <w:tab/>
      </w:r>
      <w:r>
        <w:rPr>
          <w:rFonts w:hint="eastAsia" w:ascii="楷体_GB2312" w:hAnsi="楷体_GB2312" w:eastAsia="楷体_GB2312" w:cs="楷体_GB2312"/>
          <w:sz w:val="28"/>
          <w:szCs w:val="28"/>
        </w:rPr>
        <w:fldChar w:fldCharType="begin"/>
      </w:r>
      <w:r>
        <w:rPr>
          <w:rFonts w:hint="eastAsia" w:ascii="楷体_GB2312" w:hAnsi="楷体_GB2312" w:eastAsia="楷体_GB2312" w:cs="楷体_GB2312"/>
          <w:sz w:val="28"/>
          <w:szCs w:val="28"/>
        </w:rPr>
        <w:instrText xml:space="preserve"> PAGEREF _Toc30016 \h </w:instrText>
      </w:r>
      <w:r>
        <w:rPr>
          <w:rFonts w:hint="eastAsia" w:ascii="楷体_GB2312" w:hAnsi="楷体_GB2312" w:eastAsia="楷体_GB2312" w:cs="楷体_GB2312"/>
          <w:sz w:val="28"/>
          <w:szCs w:val="28"/>
        </w:rPr>
        <w:fldChar w:fldCharType="separate"/>
      </w:r>
      <w:r>
        <w:rPr>
          <w:rFonts w:hint="eastAsia" w:ascii="楷体_GB2312" w:hAnsi="楷体_GB2312" w:eastAsia="楷体_GB2312" w:cs="楷体_GB2312"/>
          <w:sz w:val="28"/>
          <w:szCs w:val="28"/>
        </w:rPr>
        <w:t>47</w:t>
      </w:r>
      <w:r>
        <w:rPr>
          <w:rFonts w:hint="eastAsia" w:ascii="楷体_GB2312" w:hAnsi="楷体_GB2312" w:eastAsia="楷体_GB2312" w:cs="楷体_GB2312"/>
          <w:sz w:val="28"/>
          <w:szCs w:val="28"/>
        </w:rPr>
        <w:fldChar w:fldCharType="end"/>
      </w:r>
      <w:r>
        <w:rPr>
          <w:rFonts w:hint="eastAsia" w:ascii="楷体_GB2312" w:hAnsi="楷体_GB2312" w:eastAsia="楷体_GB2312" w:cs="楷体_GB2312"/>
          <w:sz w:val="28"/>
          <w:szCs w:val="28"/>
        </w:rPr>
        <w:fldChar w:fldCharType="end"/>
      </w:r>
    </w:p>
    <w:p w14:paraId="4C20185E">
      <w:pPr>
        <w:pStyle w:val="19"/>
        <w:keepNext w:val="0"/>
        <w:keepLines w:val="0"/>
        <w:pageBreakBefore w:val="0"/>
        <w:widowControl w:val="0"/>
        <w:tabs>
          <w:tab w:val="right" w:leader="dot" w:pos="8845"/>
        </w:tabs>
        <w:kinsoku/>
        <w:wordWrap/>
        <w:overflowPunct/>
        <w:topLinePunct w:val="0"/>
        <w:autoSpaceDE/>
        <w:autoSpaceDN/>
        <w:bidi w:val="0"/>
        <w:adjustRightInd/>
        <w:snapToGrid/>
        <w:spacing w:line="500" w:lineRule="exact"/>
        <w:textAlignment w:val="auto"/>
        <w:rPr>
          <w:sz w:val="28"/>
          <w:szCs w:val="28"/>
        </w:rPr>
      </w:pPr>
      <w:r>
        <w:rPr>
          <w:rFonts w:hint="eastAsia" w:ascii="楷体_GB2312" w:hAnsi="楷体_GB2312" w:eastAsia="楷体_GB2312" w:cs="楷体_GB2312"/>
          <w:sz w:val="28"/>
          <w:szCs w:val="28"/>
        </w:rPr>
        <w:fldChar w:fldCharType="begin"/>
      </w:r>
      <w:r>
        <w:rPr>
          <w:rFonts w:hint="eastAsia" w:ascii="楷体_GB2312" w:hAnsi="楷体_GB2312" w:eastAsia="楷体_GB2312" w:cs="楷体_GB2312"/>
          <w:sz w:val="28"/>
          <w:szCs w:val="28"/>
        </w:rPr>
        <w:instrText xml:space="preserve"> HYPERLINK \l _Toc1993 </w:instrText>
      </w:r>
      <w:r>
        <w:rPr>
          <w:rFonts w:hint="eastAsia" w:ascii="楷体_GB2312" w:hAnsi="楷体_GB2312" w:eastAsia="楷体_GB2312" w:cs="楷体_GB2312"/>
          <w:sz w:val="28"/>
          <w:szCs w:val="28"/>
        </w:rPr>
        <w:fldChar w:fldCharType="separate"/>
      </w:r>
      <w:r>
        <w:rPr>
          <w:rFonts w:hint="eastAsia" w:ascii="楷体_GB2312" w:hAnsi="楷体_GB2312" w:eastAsia="楷体_GB2312" w:cs="楷体_GB2312"/>
          <w:kern w:val="2"/>
          <w:sz w:val="28"/>
          <w:szCs w:val="28"/>
        </w:rPr>
        <w:t xml:space="preserve">第二节 </w:t>
      </w:r>
      <w:r>
        <w:rPr>
          <w:rFonts w:hint="eastAsia" w:ascii="楷体_GB2312" w:hAnsi="楷体_GB2312" w:eastAsia="楷体_GB2312" w:cs="楷体_GB2312"/>
          <w:kern w:val="2"/>
          <w:sz w:val="28"/>
          <w:szCs w:val="28"/>
          <w:lang w:val="en-US" w:eastAsia="zh-CN"/>
        </w:rPr>
        <w:t xml:space="preserve"> </w:t>
      </w:r>
      <w:r>
        <w:rPr>
          <w:rFonts w:hint="eastAsia" w:ascii="楷体_GB2312" w:hAnsi="楷体_GB2312" w:eastAsia="楷体_GB2312" w:cs="楷体_GB2312"/>
          <w:kern w:val="2"/>
          <w:sz w:val="28"/>
          <w:szCs w:val="28"/>
        </w:rPr>
        <w:t>大力促进富民增收</w:t>
      </w:r>
      <w:r>
        <w:rPr>
          <w:rFonts w:hint="eastAsia" w:ascii="楷体_GB2312" w:hAnsi="楷体_GB2312" w:eastAsia="楷体_GB2312" w:cs="楷体_GB2312"/>
          <w:sz w:val="28"/>
          <w:szCs w:val="28"/>
        </w:rPr>
        <w:tab/>
      </w:r>
      <w:r>
        <w:rPr>
          <w:rFonts w:hint="eastAsia" w:ascii="楷体_GB2312" w:hAnsi="楷体_GB2312" w:eastAsia="楷体_GB2312" w:cs="楷体_GB2312"/>
          <w:sz w:val="28"/>
          <w:szCs w:val="28"/>
        </w:rPr>
        <w:fldChar w:fldCharType="begin"/>
      </w:r>
      <w:r>
        <w:rPr>
          <w:rFonts w:hint="eastAsia" w:ascii="楷体_GB2312" w:hAnsi="楷体_GB2312" w:eastAsia="楷体_GB2312" w:cs="楷体_GB2312"/>
          <w:sz w:val="28"/>
          <w:szCs w:val="28"/>
        </w:rPr>
        <w:instrText xml:space="preserve"> PAGEREF _Toc1993 \h </w:instrText>
      </w:r>
      <w:r>
        <w:rPr>
          <w:rFonts w:hint="eastAsia" w:ascii="楷体_GB2312" w:hAnsi="楷体_GB2312" w:eastAsia="楷体_GB2312" w:cs="楷体_GB2312"/>
          <w:sz w:val="28"/>
          <w:szCs w:val="28"/>
        </w:rPr>
        <w:fldChar w:fldCharType="separate"/>
      </w:r>
      <w:r>
        <w:rPr>
          <w:rFonts w:hint="eastAsia" w:ascii="楷体_GB2312" w:hAnsi="楷体_GB2312" w:eastAsia="楷体_GB2312" w:cs="楷体_GB2312"/>
          <w:sz w:val="28"/>
          <w:szCs w:val="28"/>
        </w:rPr>
        <w:t>50</w:t>
      </w:r>
      <w:r>
        <w:rPr>
          <w:rFonts w:hint="eastAsia" w:ascii="楷体_GB2312" w:hAnsi="楷体_GB2312" w:eastAsia="楷体_GB2312" w:cs="楷体_GB2312"/>
          <w:sz w:val="28"/>
          <w:szCs w:val="28"/>
        </w:rPr>
        <w:fldChar w:fldCharType="end"/>
      </w:r>
      <w:r>
        <w:rPr>
          <w:rFonts w:hint="eastAsia" w:ascii="楷体_GB2312" w:hAnsi="楷体_GB2312" w:eastAsia="楷体_GB2312" w:cs="楷体_GB2312"/>
          <w:sz w:val="28"/>
          <w:szCs w:val="28"/>
        </w:rPr>
        <w:fldChar w:fldCharType="end"/>
      </w:r>
    </w:p>
    <w:p w14:paraId="162191D7">
      <w:pPr>
        <w:pStyle w:val="17"/>
        <w:keepNext w:val="0"/>
        <w:keepLines w:val="0"/>
        <w:pageBreakBefore w:val="0"/>
        <w:widowControl w:val="0"/>
        <w:tabs>
          <w:tab w:val="right" w:leader="dot" w:pos="8845"/>
        </w:tabs>
        <w:kinsoku/>
        <w:wordWrap/>
        <w:overflowPunct/>
        <w:topLinePunct w:val="0"/>
        <w:autoSpaceDE/>
        <w:autoSpaceDN/>
        <w:bidi w:val="0"/>
        <w:adjustRightInd/>
        <w:snapToGrid/>
        <w:spacing w:line="500" w:lineRule="exact"/>
        <w:textAlignment w:val="auto"/>
        <w:rPr>
          <w:rFonts w:hint="eastAsia" w:ascii="黑体" w:hAnsi="黑体" w:eastAsia="黑体" w:cs="黑体"/>
          <w:sz w:val="28"/>
          <w:szCs w:val="28"/>
        </w:rPr>
      </w:pPr>
      <w:r>
        <w:rPr>
          <w:rFonts w:hint="eastAsia" w:ascii="黑体" w:hAnsi="黑体" w:eastAsia="黑体" w:cs="黑体"/>
          <w:sz w:val="28"/>
          <w:szCs w:val="28"/>
        </w:rPr>
        <w:fldChar w:fldCharType="begin"/>
      </w:r>
      <w:r>
        <w:rPr>
          <w:rFonts w:hint="eastAsia" w:ascii="黑体" w:hAnsi="黑体" w:eastAsia="黑体" w:cs="黑体"/>
          <w:sz w:val="28"/>
          <w:szCs w:val="28"/>
        </w:rPr>
        <w:instrText xml:space="preserve"> HYPERLINK \l _Toc11803 </w:instrText>
      </w:r>
      <w:r>
        <w:rPr>
          <w:rFonts w:hint="eastAsia" w:ascii="黑体" w:hAnsi="黑体" w:eastAsia="黑体" w:cs="黑体"/>
          <w:sz w:val="28"/>
          <w:szCs w:val="28"/>
        </w:rPr>
        <w:fldChar w:fldCharType="separate"/>
      </w:r>
      <w:r>
        <w:rPr>
          <w:rFonts w:hint="eastAsia" w:ascii="黑体" w:hAnsi="黑体" w:eastAsia="黑体" w:cs="黑体"/>
          <w:kern w:val="2"/>
          <w:sz w:val="28"/>
          <w:szCs w:val="28"/>
        </w:rPr>
        <w:t>第</w:t>
      </w:r>
      <w:r>
        <w:rPr>
          <w:rFonts w:hint="eastAsia" w:ascii="黑体" w:hAnsi="黑体" w:eastAsia="黑体" w:cs="黑体"/>
          <w:kern w:val="2"/>
          <w:sz w:val="28"/>
          <w:szCs w:val="28"/>
          <w:lang w:eastAsia="zh-CN"/>
        </w:rPr>
        <w:t>十二</w:t>
      </w:r>
      <w:r>
        <w:rPr>
          <w:rFonts w:hint="eastAsia" w:ascii="黑体" w:hAnsi="黑体" w:eastAsia="黑体" w:cs="黑体"/>
          <w:kern w:val="2"/>
          <w:sz w:val="28"/>
          <w:szCs w:val="28"/>
        </w:rPr>
        <w:t xml:space="preserve">章  </w:t>
      </w:r>
      <w:r>
        <w:rPr>
          <w:rFonts w:hint="eastAsia" w:ascii="黑体" w:hAnsi="黑体" w:eastAsia="黑体" w:cs="黑体"/>
          <w:sz w:val="28"/>
          <w:szCs w:val="28"/>
          <w:lang w:eastAsia="zh-CN"/>
        </w:rPr>
        <w:t>推动经济社会发展全面绿色转型，加快建设美丽吴江</w:t>
      </w:r>
      <w:r>
        <w:rPr>
          <w:rFonts w:hint="eastAsia" w:ascii="黑体" w:hAnsi="黑体" w:eastAsia="黑体" w:cs="黑体"/>
          <w:sz w:val="28"/>
          <w:szCs w:val="28"/>
        </w:rPr>
        <w:tab/>
      </w:r>
      <w:r>
        <w:rPr>
          <w:rFonts w:hint="eastAsia" w:ascii="黑体" w:hAnsi="黑体" w:eastAsia="黑体" w:cs="黑体"/>
          <w:sz w:val="28"/>
          <w:szCs w:val="28"/>
        </w:rPr>
        <w:fldChar w:fldCharType="begin"/>
      </w:r>
      <w:r>
        <w:rPr>
          <w:rFonts w:hint="eastAsia" w:ascii="黑体" w:hAnsi="黑体" w:eastAsia="黑体" w:cs="黑体"/>
          <w:sz w:val="28"/>
          <w:szCs w:val="28"/>
        </w:rPr>
        <w:instrText xml:space="preserve"> PAGEREF _Toc11803 \h </w:instrText>
      </w:r>
      <w:r>
        <w:rPr>
          <w:rFonts w:hint="eastAsia" w:ascii="黑体" w:hAnsi="黑体" w:eastAsia="黑体" w:cs="黑体"/>
          <w:sz w:val="28"/>
          <w:szCs w:val="28"/>
        </w:rPr>
        <w:fldChar w:fldCharType="separate"/>
      </w:r>
      <w:r>
        <w:rPr>
          <w:rFonts w:hint="eastAsia" w:ascii="黑体" w:hAnsi="黑体" w:eastAsia="黑体" w:cs="黑体"/>
          <w:sz w:val="28"/>
          <w:szCs w:val="28"/>
        </w:rPr>
        <w:t>52</w:t>
      </w:r>
      <w:r>
        <w:rPr>
          <w:rFonts w:hint="eastAsia" w:ascii="黑体" w:hAnsi="黑体" w:eastAsia="黑体" w:cs="黑体"/>
          <w:sz w:val="28"/>
          <w:szCs w:val="28"/>
        </w:rPr>
        <w:fldChar w:fldCharType="end"/>
      </w:r>
      <w:r>
        <w:rPr>
          <w:rFonts w:hint="eastAsia" w:ascii="黑体" w:hAnsi="黑体" w:eastAsia="黑体" w:cs="黑体"/>
          <w:sz w:val="28"/>
          <w:szCs w:val="28"/>
        </w:rPr>
        <w:fldChar w:fldCharType="end"/>
      </w:r>
    </w:p>
    <w:p w14:paraId="15F87226">
      <w:pPr>
        <w:pStyle w:val="19"/>
        <w:keepNext w:val="0"/>
        <w:keepLines w:val="0"/>
        <w:pageBreakBefore w:val="0"/>
        <w:widowControl w:val="0"/>
        <w:tabs>
          <w:tab w:val="right" w:leader="dot" w:pos="8845"/>
        </w:tabs>
        <w:kinsoku/>
        <w:wordWrap/>
        <w:overflowPunct/>
        <w:topLinePunct w:val="0"/>
        <w:autoSpaceDE/>
        <w:autoSpaceDN/>
        <w:bidi w:val="0"/>
        <w:adjustRightInd/>
        <w:snapToGrid/>
        <w:spacing w:line="500" w:lineRule="exact"/>
        <w:textAlignment w:val="auto"/>
        <w:rPr>
          <w:sz w:val="28"/>
          <w:szCs w:val="28"/>
        </w:rPr>
      </w:pPr>
      <w:r>
        <w:rPr>
          <w:rFonts w:hint="eastAsia" w:ascii="楷体_GB2312" w:hAnsi="楷体_GB2312" w:eastAsia="楷体_GB2312" w:cs="楷体_GB2312"/>
          <w:sz w:val="28"/>
          <w:szCs w:val="28"/>
        </w:rPr>
        <w:fldChar w:fldCharType="begin"/>
      </w:r>
      <w:r>
        <w:rPr>
          <w:rFonts w:hint="eastAsia" w:ascii="楷体_GB2312" w:hAnsi="楷体_GB2312" w:eastAsia="楷体_GB2312" w:cs="楷体_GB2312"/>
          <w:sz w:val="28"/>
          <w:szCs w:val="28"/>
        </w:rPr>
        <w:instrText xml:space="preserve"> HYPERLINK \l _Toc12183 </w:instrText>
      </w:r>
      <w:r>
        <w:rPr>
          <w:rFonts w:hint="eastAsia" w:ascii="楷体_GB2312" w:hAnsi="楷体_GB2312" w:eastAsia="楷体_GB2312" w:cs="楷体_GB2312"/>
          <w:sz w:val="28"/>
          <w:szCs w:val="28"/>
        </w:rPr>
        <w:fldChar w:fldCharType="separate"/>
      </w:r>
      <w:r>
        <w:rPr>
          <w:rFonts w:hint="eastAsia" w:ascii="楷体_GB2312" w:hAnsi="楷体_GB2312" w:eastAsia="楷体_GB2312" w:cs="楷体_GB2312"/>
          <w:kern w:val="2"/>
          <w:sz w:val="28"/>
          <w:szCs w:val="28"/>
        </w:rPr>
        <w:t xml:space="preserve">第一节 </w:t>
      </w:r>
      <w:r>
        <w:rPr>
          <w:rFonts w:hint="eastAsia" w:ascii="楷体_GB2312" w:hAnsi="楷体_GB2312" w:eastAsia="楷体_GB2312" w:cs="楷体_GB2312"/>
          <w:kern w:val="2"/>
          <w:sz w:val="28"/>
          <w:szCs w:val="28"/>
          <w:lang w:val="en-US" w:eastAsia="zh-CN"/>
        </w:rPr>
        <w:t xml:space="preserve"> </w:t>
      </w:r>
      <w:r>
        <w:rPr>
          <w:rFonts w:hint="eastAsia" w:ascii="楷体_GB2312" w:hAnsi="楷体_GB2312" w:eastAsia="楷体_GB2312" w:cs="楷体_GB2312"/>
          <w:kern w:val="2"/>
          <w:sz w:val="28"/>
          <w:szCs w:val="28"/>
        </w:rPr>
        <w:t>推动生态环境本质改善</w:t>
      </w:r>
      <w:r>
        <w:rPr>
          <w:rFonts w:hint="eastAsia" w:ascii="楷体_GB2312" w:hAnsi="楷体_GB2312" w:eastAsia="楷体_GB2312" w:cs="楷体_GB2312"/>
          <w:sz w:val="28"/>
          <w:szCs w:val="28"/>
        </w:rPr>
        <w:tab/>
      </w:r>
      <w:r>
        <w:rPr>
          <w:rFonts w:hint="eastAsia" w:ascii="楷体_GB2312" w:hAnsi="楷体_GB2312" w:eastAsia="楷体_GB2312" w:cs="楷体_GB2312"/>
          <w:sz w:val="28"/>
          <w:szCs w:val="28"/>
        </w:rPr>
        <w:fldChar w:fldCharType="begin"/>
      </w:r>
      <w:r>
        <w:rPr>
          <w:rFonts w:hint="eastAsia" w:ascii="楷体_GB2312" w:hAnsi="楷体_GB2312" w:eastAsia="楷体_GB2312" w:cs="楷体_GB2312"/>
          <w:sz w:val="28"/>
          <w:szCs w:val="28"/>
        </w:rPr>
        <w:instrText xml:space="preserve"> PAGEREF _Toc12183 \h </w:instrText>
      </w:r>
      <w:r>
        <w:rPr>
          <w:rFonts w:hint="eastAsia" w:ascii="楷体_GB2312" w:hAnsi="楷体_GB2312" w:eastAsia="楷体_GB2312" w:cs="楷体_GB2312"/>
          <w:sz w:val="28"/>
          <w:szCs w:val="28"/>
        </w:rPr>
        <w:fldChar w:fldCharType="separate"/>
      </w:r>
      <w:r>
        <w:rPr>
          <w:rFonts w:hint="eastAsia" w:ascii="楷体_GB2312" w:hAnsi="楷体_GB2312" w:eastAsia="楷体_GB2312" w:cs="楷体_GB2312"/>
          <w:sz w:val="28"/>
          <w:szCs w:val="28"/>
        </w:rPr>
        <w:t>52</w:t>
      </w:r>
      <w:r>
        <w:rPr>
          <w:rFonts w:hint="eastAsia" w:ascii="楷体_GB2312" w:hAnsi="楷体_GB2312" w:eastAsia="楷体_GB2312" w:cs="楷体_GB2312"/>
          <w:sz w:val="28"/>
          <w:szCs w:val="28"/>
        </w:rPr>
        <w:fldChar w:fldCharType="end"/>
      </w:r>
      <w:r>
        <w:rPr>
          <w:rFonts w:hint="eastAsia" w:ascii="楷体_GB2312" w:hAnsi="楷体_GB2312" w:eastAsia="楷体_GB2312" w:cs="楷体_GB2312"/>
          <w:sz w:val="28"/>
          <w:szCs w:val="28"/>
        </w:rPr>
        <w:fldChar w:fldCharType="end"/>
      </w:r>
    </w:p>
    <w:p w14:paraId="0BBB278F">
      <w:pPr>
        <w:pStyle w:val="19"/>
        <w:keepNext w:val="0"/>
        <w:keepLines w:val="0"/>
        <w:pageBreakBefore w:val="0"/>
        <w:widowControl w:val="0"/>
        <w:tabs>
          <w:tab w:val="right" w:leader="dot" w:pos="8845"/>
        </w:tabs>
        <w:kinsoku/>
        <w:wordWrap/>
        <w:overflowPunct/>
        <w:topLinePunct w:val="0"/>
        <w:autoSpaceDE/>
        <w:autoSpaceDN/>
        <w:bidi w:val="0"/>
        <w:adjustRightInd/>
        <w:snapToGrid/>
        <w:spacing w:line="500" w:lineRule="exact"/>
        <w:textAlignment w:val="auto"/>
        <w:rPr>
          <w:sz w:val="28"/>
          <w:szCs w:val="28"/>
        </w:rPr>
      </w:pPr>
      <w:r>
        <w:rPr>
          <w:rFonts w:hint="eastAsia" w:ascii="楷体_GB2312" w:hAnsi="楷体_GB2312" w:eastAsia="楷体_GB2312" w:cs="楷体_GB2312"/>
          <w:sz w:val="28"/>
          <w:szCs w:val="28"/>
        </w:rPr>
        <w:fldChar w:fldCharType="begin"/>
      </w:r>
      <w:r>
        <w:rPr>
          <w:rFonts w:hint="eastAsia" w:ascii="楷体_GB2312" w:hAnsi="楷体_GB2312" w:eastAsia="楷体_GB2312" w:cs="楷体_GB2312"/>
          <w:sz w:val="28"/>
          <w:szCs w:val="28"/>
        </w:rPr>
        <w:instrText xml:space="preserve"> HYPERLINK \l _Toc24945 </w:instrText>
      </w:r>
      <w:r>
        <w:rPr>
          <w:rFonts w:hint="eastAsia" w:ascii="楷体_GB2312" w:hAnsi="楷体_GB2312" w:eastAsia="楷体_GB2312" w:cs="楷体_GB2312"/>
          <w:sz w:val="28"/>
          <w:szCs w:val="28"/>
        </w:rPr>
        <w:fldChar w:fldCharType="separate"/>
      </w:r>
      <w:r>
        <w:rPr>
          <w:rFonts w:hint="eastAsia" w:ascii="楷体_GB2312" w:hAnsi="楷体_GB2312" w:eastAsia="楷体_GB2312" w:cs="楷体_GB2312"/>
          <w:kern w:val="2"/>
          <w:sz w:val="28"/>
          <w:szCs w:val="28"/>
        </w:rPr>
        <w:t xml:space="preserve">第二节 </w:t>
      </w:r>
      <w:r>
        <w:rPr>
          <w:rFonts w:hint="eastAsia" w:ascii="楷体_GB2312" w:hAnsi="楷体_GB2312" w:eastAsia="楷体_GB2312" w:cs="楷体_GB2312"/>
          <w:kern w:val="2"/>
          <w:sz w:val="28"/>
          <w:szCs w:val="28"/>
          <w:lang w:val="en-US" w:eastAsia="zh-CN"/>
        </w:rPr>
        <w:t xml:space="preserve"> </w:t>
      </w:r>
      <w:r>
        <w:rPr>
          <w:rFonts w:hint="eastAsia" w:ascii="楷体_GB2312" w:hAnsi="楷体_GB2312" w:eastAsia="楷体_GB2312" w:cs="楷体_GB2312"/>
          <w:kern w:val="2"/>
          <w:sz w:val="28"/>
          <w:szCs w:val="28"/>
        </w:rPr>
        <w:t>全面推动绿色低碳发展</w:t>
      </w:r>
      <w:r>
        <w:rPr>
          <w:rFonts w:hint="eastAsia" w:ascii="楷体_GB2312" w:hAnsi="楷体_GB2312" w:eastAsia="楷体_GB2312" w:cs="楷体_GB2312"/>
          <w:sz w:val="28"/>
          <w:szCs w:val="28"/>
        </w:rPr>
        <w:tab/>
      </w:r>
      <w:r>
        <w:rPr>
          <w:rFonts w:hint="eastAsia" w:ascii="楷体_GB2312" w:hAnsi="楷体_GB2312" w:eastAsia="楷体_GB2312" w:cs="楷体_GB2312"/>
          <w:sz w:val="28"/>
          <w:szCs w:val="28"/>
        </w:rPr>
        <w:fldChar w:fldCharType="begin"/>
      </w:r>
      <w:r>
        <w:rPr>
          <w:rFonts w:hint="eastAsia" w:ascii="楷体_GB2312" w:hAnsi="楷体_GB2312" w:eastAsia="楷体_GB2312" w:cs="楷体_GB2312"/>
          <w:sz w:val="28"/>
          <w:szCs w:val="28"/>
        </w:rPr>
        <w:instrText xml:space="preserve"> PAGEREF _Toc24945 \h </w:instrText>
      </w:r>
      <w:r>
        <w:rPr>
          <w:rFonts w:hint="eastAsia" w:ascii="楷体_GB2312" w:hAnsi="楷体_GB2312" w:eastAsia="楷体_GB2312" w:cs="楷体_GB2312"/>
          <w:sz w:val="28"/>
          <w:szCs w:val="28"/>
        </w:rPr>
        <w:fldChar w:fldCharType="separate"/>
      </w:r>
      <w:r>
        <w:rPr>
          <w:rFonts w:hint="eastAsia" w:ascii="楷体_GB2312" w:hAnsi="楷体_GB2312" w:eastAsia="楷体_GB2312" w:cs="楷体_GB2312"/>
          <w:sz w:val="28"/>
          <w:szCs w:val="28"/>
        </w:rPr>
        <w:t>53</w:t>
      </w:r>
      <w:r>
        <w:rPr>
          <w:rFonts w:hint="eastAsia" w:ascii="楷体_GB2312" w:hAnsi="楷体_GB2312" w:eastAsia="楷体_GB2312" w:cs="楷体_GB2312"/>
          <w:sz w:val="28"/>
          <w:szCs w:val="28"/>
        </w:rPr>
        <w:fldChar w:fldCharType="end"/>
      </w:r>
      <w:r>
        <w:rPr>
          <w:rFonts w:hint="eastAsia" w:ascii="楷体_GB2312" w:hAnsi="楷体_GB2312" w:eastAsia="楷体_GB2312" w:cs="楷体_GB2312"/>
          <w:sz w:val="28"/>
          <w:szCs w:val="28"/>
        </w:rPr>
        <w:fldChar w:fldCharType="end"/>
      </w:r>
    </w:p>
    <w:p w14:paraId="39711892">
      <w:pPr>
        <w:pStyle w:val="17"/>
        <w:keepNext w:val="0"/>
        <w:keepLines w:val="0"/>
        <w:pageBreakBefore w:val="0"/>
        <w:widowControl w:val="0"/>
        <w:tabs>
          <w:tab w:val="right" w:leader="dot" w:pos="8845"/>
        </w:tabs>
        <w:kinsoku/>
        <w:wordWrap/>
        <w:overflowPunct/>
        <w:topLinePunct w:val="0"/>
        <w:autoSpaceDE/>
        <w:autoSpaceDN/>
        <w:bidi w:val="0"/>
        <w:adjustRightInd/>
        <w:snapToGrid/>
        <w:spacing w:line="500" w:lineRule="exact"/>
        <w:textAlignment w:val="auto"/>
        <w:rPr>
          <w:rFonts w:hint="eastAsia" w:ascii="黑体" w:hAnsi="黑体" w:eastAsia="黑体" w:cs="黑体"/>
          <w:sz w:val="28"/>
          <w:szCs w:val="28"/>
        </w:rPr>
      </w:pPr>
      <w:r>
        <w:rPr>
          <w:rFonts w:hint="eastAsia" w:ascii="黑体" w:hAnsi="黑体" w:eastAsia="黑体" w:cs="黑体"/>
          <w:sz w:val="28"/>
          <w:szCs w:val="28"/>
        </w:rPr>
        <w:fldChar w:fldCharType="begin"/>
      </w:r>
      <w:r>
        <w:rPr>
          <w:rFonts w:hint="eastAsia" w:ascii="黑体" w:hAnsi="黑体" w:eastAsia="黑体" w:cs="黑体"/>
          <w:sz w:val="28"/>
          <w:szCs w:val="28"/>
        </w:rPr>
        <w:instrText xml:space="preserve"> HYPERLINK \l _Toc3306 </w:instrText>
      </w:r>
      <w:r>
        <w:rPr>
          <w:rFonts w:hint="eastAsia" w:ascii="黑体" w:hAnsi="黑体" w:eastAsia="黑体" w:cs="黑体"/>
          <w:sz w:val="28"/>
          <w:szCs w:val="28"/>
        </w:rPr>
        <w:fldChar w:fldCharType="separate"/>
      </w:r>
      <w:r>
        <w:rPr>
          <w:rFonts w:hint="eastAsia" w:ascii="黑体" w:hAnsi="黑体" w:eastAsia="黑体" w:cs="黑体"/>
          <w:sz w:val="28"/>
          <w:szCs w:val="28"/>
        </w:rPr>
        <w:t>第</w:t>
      </w:r>
      <w:r>
        <w:rPr>
          <w:rFonts w:hint="eastAsia" w:ascii="黑体" w:hAnsi="黑体" w:eastAsia="黑体" w:cs="黑体"/>
          <w:sz w:val="28"/>
          <w:szCs w:val="28"/>
          <w:lang w:eastAsia="zh-CN"/>
        </w:rPr>
        <w:t>十三</w:t>
      </w:r>
      <w:r>
        <w:rPr>
          <w:rFonts w:hint="eastAsia" w:ascii="黑体" w:hAnsi="黑体" w:eastAsia="黑体" w:cs="黑体"/>
          <w:sz w:val="28"/>
          <w:szCs w:val="28"/>
        </w:rPr>
        <w:t>章  更好统筹发展和安全，</w:t>
      </w:r>
      <w:r>
        <w:rPr>
          <w:rFonts w:hint="eastAsia" w:ascii="黑体" w:hAnsi="黑体" w:eastAsia="黑体" w:cs="黑体"/>
          <w:sz w:val="28"/>
          <w:szCs w:val="28"/>
          <w:lang w:val="en-US" w:eastAsia="zh-CN"/>
        </w:rPr>
        <w:t>推进治理体系和治理能力现代化</w:t>
      </w:r>
      <w:r>
        <w:rPr>
          <w:rFonts w:hint="eastAsia" w:ascii="黑体" w:hAnsi="黑体" w:eastAsia="黑体" w:cs="黑体"/>
          <w:sz w:val="28"/>
          <w:szCs w:val="28"/>
        </w:rPr>
        <w:tab/>
      </w:r>
      <w:r>
        <w:rPr>
          <w:rFonts w:hint="eastAsia" w:ascii="黑体" w:hAnsi="黑体" w:eastAsia="黑体" w:cs="黑体"/>
          <w:sz w:val="28"/>
          <w:szCs w:val="28"/>
        </w:rPr>
        <w:fldChar w:fldCharType="begin"/>
      </w:r>
      <w:r>
        <w:rPr>
          <w:rFonts w:hint="eastAsia" w:ascii="黑体" w:hAnsi="黑体" w:eastAsia="黑体" w:cs="黑体"/>
          <w:sz w:val="28"/>
          <w:szCs w:val="28"/>
        </w:rPr>
        <w:instrText xml:space="preserve"> PAGEREF _Toc3306 \h </w:instrText>
      </w:r>
      <w:r>
        <w:rPr>
          <w:rFonts w:hint="eastAsia" w:ascii="黑体" w:hAnsi="黑体" w:eastAsia="黑体" w:cs="黑体"/>
          <w:sz w:val="28"/>
          <w:szCs w:val="28"/>
        </w:rPr>
        <w:fldChar w:fldCharType="separate"/>
      </w:r>
      <w:r>
        <w:rPr>
          <w:rFonts w:hint="eastAsia" w:ascii="黑体" w:hAnsi="黑体" w:eastAsia="黑体" w:cs="黑体"/>
          <w:sz w:val="28"/>
          <w:szCs w:val="28"/>
        </w:rPr>
        <w:t>56</w:t>
      </w:r>
      <w:r>
        <w:rPr>
          <w:rFonts w:hint="eastAsia" w:ascii="黑体" w:hAnsi="黑体" w:eastAsia="黑体" w:cs="黑体"/>
          <w:sz w:val="28"/>
          <w:szCs w:val="28"/>
        </w:rPr>
        <w:fldChar w:fldCharType="end"/>
      </w:r>
      <w:r>
        <w:rPr>
          <w:rFonts w:hint="eastAsia" w:ascii="黑体" w:hAnsi="黑体" w:eastAsia="黑体" w:cs="黑体"/>
          <w:sz w:val="28"/>
          <w:szCs w:val="28"/>
        </w:rPr>
        <w:fldChar w:fldCharType="end"/>
      </w:r>
    </w:p>
    <w:p w14:paraId="695FD5FA">
      <w:pPr>
        <w:pStyle w:val="19"/>
        <w:keepNext w:val="0"/>
        <w:keepLines w:val="0"/>
        <w:pageBreakBefore w:val="0"/>
        <w:widowControl w:val="0"/>
        <w:tabs>
          <w:tab w:val="right" w:leader="dot" w:pos="8845"/>
        </w:tabs>
        <w:kinsoku/>
        <w:wordWrap/>
        <w:overflowPunct/>
        <w:topLinePunct w:val="0"/>
        <w:autoSpaceDE/>
        <w:autoSpaceDN/>
        <w:bidi w:val="0"/>
        <w:adjustRightInd/>
        <w:snapToGrid/>
        <w:spacing w:line="500" w:lineRule="exact"/>
        <w:textAlignment w:val="auto"/>
        <w:rPr>
          <w:sz w:val="28"/>
          <w:szCs w:val="28"/>
        </w:rPr>
      </w:pPr>
      <w:r>
        <w:rPr>
          <w:rFonts w:hint="eastAsia" w:ascii="楷体_GB2312" w:hAnsi="楷体_GB2312" w:eastAsia="楷体_GB2312" w:cs="楷体_GB2312"/>
          <w:sz w:val="28"/>
          <w:szCs w:val="28"/>
        </w:rPr>
        <w:fldChar w:fldCharType="begin"/>
      </w:r>
      <w:r>
        <w:rPr>
          <w:rFonts w:hint="eastAsia" w:ascii="楷体_GB2312" w:hAnsi="楷体_GB2312" w:eastAsia="楷体_GB2312" w:cs="楷体_GB2312"/>
          <w:sz w:val="28"/>
          <w:szCs w:val="28"/>
        </w:rPr>
        <w:instrText xml:space="preserve"> HYPERLINK \l _Toc29311 </w:instrText>
      </w:r>
      <w:r>
        <w:rPr>
          <w:rFonts w:hint="eastAsia" w:ascii="楷体_GB2312" w:hAnsi="楷体_GB2312" w:eastAsia="楷体_GB2312" w:cs="楷体_GB2312"/>
          <w:sz w:val="28"/>
          <w:szCs w:val="28"/>
        </w:rPr>
        <w:fldChar w:fldCharType="separate"/>
      </w:r>
      <w:r>
        <w:rPr>
          <w:rFonts w:hint="eastAsia" w:ascii="楷体_GB2312" w:hAnsi="楷体_GB2312" w:eastAsia="楷体_GB2312" w:cs="楷体_GB2312"/>
          <w:kern w:val="2"/>
          <w:sz w:val="28"/>
          <w:szCs w:val="28"/>
        </w:rPr>
        <w:t>第一节</w:t>
      </w:r>
      <w:r>
        <w:rPr>
          <w:rFonts w:hint="eastAsia" w:ascii="楷体_GB2312" w:hAnsi="楷体_GB2312" w:eastAsia="楷体_GB2312" w:cs="楷体_GB2312"/>
          <w:kern w:val="2"/>
          <w:sz w:val="28"/>
          <w:szCs w:val="28"/>
          <w:lang w:val="en-US" w:eastAsia="zh-CN"/>
        </w:rPr>
        <w:t xml:space="preserve"> </w:t>
      </w:r>
      <w:r>
        <w:rPr>
          <w:rFonts w:hint="eastAsia" w:ascii="楷体_GB2312" w:hAnsi="楷体_GB2312" w:eastAsia="楷体_GB2312" w:cs="楷体_GB2312"/>
          <w:kern w:val="2"/>
          <w:sz w:val="28"/>
          <w:szCs w:val="28"/>
        </w:rPr>
        <w:t xml:space="preserve"> 提升社会治理现代化水平</w:t>
      </w:r>
      <w:r>
        <w:rPr>
          <w:rFonts w:hint="eastAsia" w:ascii="楷体_GB2312" w:hAnsi="楷体_GB2312" w:eastAsia="楷体_GB2312" w:cs="楷体_GB2312"/>
          <w:sz w:val="28"/>
          <w:szCs w:val="28"/>
        </w:rPr>
        <w:tab/>
      </w:r>
      <w:r>
        <w:rPr>
          <w:rFonts w:hint="eastAsia" w:ascii="楷体_GB2312" w:hAnsi="楷体_GB2312" w:eastAsia="楷体_GB2312" w:cs="楷体_GB2312"/>
          <w:sz w:val="28"/>
          <w:szCs w:val="28"/>
        </w:rPr>
        <w:fldChar w:fldCharType="begin"/>
      </w:r>
      <w:r>
        <w:rPr>
          <w:rFonts w:hint="eastAsia" w:ascii="楷体_GB2312" w:hAnsi="楷体_GB2312" w:eastAsia="楷体_GB2312" w:cs="楷体_GB2312"/>
          <w:sz w:val="28"/>
          <w:szCs w:val="28"/>
        </w:rPr>
        <w:instrText xml:space="preserve"> PAGEREF _Toc29311 \h </w:instrText>
      </w:r>
      <w:r>
        <w:rPr>
          <w:rFonts w:hint="eastAsia" w:ascii="楷体_GB2312" w:hAnsi="楷体_GB2312" w:eastAsia="楷体_GB2312" w:cs="楷体_GB2312"/>
          <w:sz w:val="28"/>
          <w:szCs w:val="28"/>
        </w:rPr>
        <w:fldChar w:fldCharType="separate"/>
      </w:r>
      <w:r>
        <w:rPr>
          <w:rFonts w:hint="eastAsia" w:ascii="楷体_GB2312" w:hAnsi="楷体_GB2312" w:eastAsia="楷体_GB2312" w:cs="楷体_GB2312"/>
          <w:sz w:val="28"/>
          <w:szCs w:val="28"/>
        </w:rPr>
        <w:t>56</w:t>
      </w:r>
      <w:r>
        <w:rPr>
          <w:rFonts w:hint="eastAsia" w:ascii="楷体_GB2312" w:hAnsi="楷体_GB2312" w:eastAsia="楷体_GB2312" w:cs="楷体_GB2312"/>
          <w:sz w:val="28"/>
          <w:szCs w:val="28"/>
        </w:rPr>
        <w:fldChar w:fldCharType="end"/>
      </w:r>
      <w:r>
        <w:rPr>
          <w:rFonts w:hint="eastAsia" w:ascii="楷体_GB2312" w:hAnsi="楷体_GB2312" w:eastAsia="楷体_GB2312" w:cs="楷体_GB2312"/>
          <w:sz w:val="28"/>
          <w:szCs w:val="28"/>
        </w:rPr>
        <w:fldChar w:fldCharType="end"/>
      </w:r>
    </w:p>
    <w:p w14:paraId="5CB227DF">
      <w:pPr>
        <w:pStyle w:val="19"/>
        <w:keepNext w:val="0"/>
        <w:keepLines w:val="0"/>
        <w:pageBreakBefore w:val="0"/>
        <w:widowControl w:val="0"/>
        <w:tabs>
          <w:tab w:val="right" w:leader="dot" w:pos="8845"/>
        </w:tabs>
        <w:kinsoku/>
        <w:wordWrap/>
        <w:overflowPunct/>
        <w:topLinePunct w:val="0"/>
        <w:autoSpaceDE/>
        <w:autoSpaceDN/>
        <w:bidi w:val="0"/>
        <w:adjustRightInd/>
        <w:snapToGrid/>
        <w:spacing w:line="500" w:lineRule="exact"/>
        <w:textAlignment w:val="auto"/>
        <w:rPr>
          <w:sz w:val="28"/>
          <w:szCs w:val="28"/>
        </w:rPr>
      </w:pPr>
      <w:r>
        <w:rPr>
          <w:rFonts w:hint="eastAsia" w:ascii="楷体_GB2312" w:hAnsi="楷体_GB2312" w:eastAsia="楷体_GB2312" w:cs="楷体_GB2312"/>
          <w:sz w:val="28"/>
          <w:szCs w:val="28"/>
        </w:rPr>
        <w:fldChar w:fldCharType="begin"/>
      </w:r>
      <w:r>
        <w:rPr>
          <w:rFonts w:hint="eastAsia" w:ascii="楷体_GB2312" w:hAnsi="楷体_GB2312" w:eastAsia="楷体_GB2312" w:cs="楷体_GB2312"/>
          <w:sz w:val="28"/>
          <w:szCs w:val="28"/>
        </w:rPr>
        <w:instrText xml:space="preserve"> HYPERLINK \l _Toc9051 </w:instrText>
      </w:r>
      <w:r>
        <w:rPr>
          <w:rFonts w:hint="eastAsia" w:ascii="楷体_GB2312" w:hAnsi="楷体_GB2312" w:eastAsia="楷体_GB2312" w:cs="楷体_GB2312"/>
          <w:sz w:val="28"/>
          <w:szCs w:val="28"/>
        </w:rPr>
        <w:fldChar w:fldCharType="separate"/>
      </w:r>
      <w:r>
        <w:rPr>
          <w:rFonts w:hint="eastAsia" w:ascii="楷体_GB2312" w:hAnsi="楷体_GB2312" w:eastAsia="楷体_GB2312" w:cs="楷体_GB2312"/>
          <w:kern w:val="2"/>
          <w:sz w:val="28"/>
          <w:szCs w:val="28"/>
        </w:rPr>
        <w:t xml:space="preserve">第二节 </w:t>
      </w:r>
      <w:r>
        <w:rPr>
          <w:rFonts w:hint="eastAsia" w:ascii="楷体_GB2312" w:hAnsi="楷体_GB2312" w:eastAsia="楷体_GB2312" w:cs="楷体_GB2312"/>
          <w:kern w:val="2"/>
          <w:sz w:val="28"/>
          <w:szCs w:val="28"/>
          <w:lang w:val="en-US" w:eastAsia="zh-CN"/>
        </w:rPr>
        <w:t xml:space="preserve"> </w:t>
      </w:r>
      <w:r>
        <w:rPr>
          <w:rFonts w:hint="eastAsia" w:ascii="楷体_GB2312" w:hAnsi="楷体_GB2312" w:eastAsia="楷体_GB2312" w:cs="楷体_GB2312"/>
          <w:kern w:val="2"/>
          <w:sz w:val="28"/>
          <w:szCs w:val="28"/>
        </w:rPr>
        <w:t>建设安全韧性城市</w:t>
      </w:r>
      <w:r>
        <w:rPr>
          <w:rFonts w:hint="eastAsia" w:ascii="楷体_GB2312" w:hAnsi="楷体_GB2312" w:eastAsia="楷体_GB2312" w:cs="楷体_GB2312"/>
          <w:sz w:val="28"/>
          <w:szCs w:val="28"/>
        </w:rPr>
        <w:tab/>
      </w:r>
      <w:r>
        <w:rPr>
          <w:rFonts w:hint="eastAsia" w:ascii="楷体_GB2312" w:hAnsi="楷体_GB2312" w:eastAsia="楷体_GB2312" w:cs="楷体_GB2312"/>
          <w:sz w:val="28"/>
          <w:szCs w:val="28"/>
        </w:rPr>
        <w:fldChar w:fldCharType="begin"/>
      </w:r>
      <w:r>
        <w:rPr>
          <w:rFonts w:hint="eastAsia" w:ascii="楷体_GB2312" w:hAnsi="楷体_GB2312" w:eastAsia="楷体_GB2312" w:cs="楷体_GB2312"/>
          <w:sz w:val="28"/>
          <w:szCs w:val="28"/>
        </w:rPr>
        <w:instrText xml:space="preserve"> PAGEREF _Toc9051 \h </w:instrText>
      </w:r>
      <w:r>
        <w:rPr>
          <w:rFonts w:hint="eastAsia" w:ascii="楷体_GB2312" w:hAnsi="楷体_GB2312" w:eastAsia="楷体_GB2312" w:cs="楷体_GB2312"/>
          <w:sz w:val="28"/>
          <w:szCs w:val="28"/>
        </w:rPr>
        <w:fldChar w:fldCharType="separate"/>
      </w:r>
      <w:r>
        <w:rPr>
          <w:rFonts w:hint="eastAsia" w:ascii="楷体_GB2312" w:hAnsi="楷体_GB2312" w:eastAsia="楷体_GB2312" w:cs="楷体_GB2312"/>
          <w:sz w:val="28"/>
          <w:szCs w:val="28"/>
        </w:rPr>
        <w:t>58</w:t>
      </w:r>
      <w:r>
        <w:rPr>
          <w:rFonts w:hint="eastAsia" w:ascii="楷体_GB2312" w:hAnsi="楷体_GB2312" w:eastAsia="楷体_GB2312" w:cs="楷体_GB2312"/>
          <w:sz w:val="28"/>
          <w:szCs w:val="28"/>
        </w:rPr>
        <w:fldChar w:fldCharType="end"/>
      </w:r>
      <w:r>
        <w:rPr>
          <w:rFonts w:hint="eastAsia" w:ascii="楷体_GB2312" w:hAnsi="楷体_GB2312" w:eastAsia="楷体_GB2312" w:cs="楷体_GB2312"/>
          <w:sz w:val="28"/>
          <w:szCs w:val="28"/>
        </w:rPr>
        <w:fldChar w:fldCharType="end"/>
      </w:r>
    </w:p>
    <w:p w14:paraId="6A83A872">
      <w:pPr>
        <w:pStyle w:val="17"/>
        <w:keepNext w:val="0"/>
        <w:keepLines w:val="0"/>
        <w:pageBreakBefore w:val="0"/>
        <w:widowControl w:val="0"/>
        <w:tabs>
          <w:tab w:val="right" w:leader="dot" w:pos="8845"/>
        </w:tabs>
        <w:kinsoku/>
        <w:wordWrap/>
        <w:overflowPunct/>
        <w:topLinePunct w:val="0"/>
        <w:autoSpaceDE/>
        <w:autoSpaceDN/>
        <w:bidi w:val="0"/>
        <w:adjustRightInd/>
        <w:snapToGrid/>
        <w:spacing w:line="500" w:lineRule="exact"/>
        <w:textAlignment w:val="auto"/>
        <w:rPr>
          <w:rFonts w:hint="eastAsia" w:ascii="黑体" w:hAnsi="黑体" w:eastAsia="黑体" w:cs="黑体"/>
          <w:sz w:val="28"/>
          <w:szCs w:val="28"/>
        </w:rPr>
      </w:pPr>
      <w:r>
        <w:rPr>
          <w:rFonts w:hint="eastAsia" w:ascii="黑体" w:hAnsi="黑体" w:eastAsia="黑体" w:cs="黑体"/>
          <w:sz w:val="28"/>
          <w:szCs w:val="28"/>
        </w:rPr>
        <w:fldChar w:fldCharType="begin"/>
      </w:r>
      <w:r>
        <w:rPr>
          <w:rFonts w:hint="eastAsia" w:ascii="黑体" w:hAnsi="黑体" w:eastAsia="黑体" w:cs="黑体"/>
          <w:sz w:val="28"/>
          <w:szCs w:val="28"/>
        </w:rPr>
        <w:instrText xml:space="preserve"> HYPERLINK \l _Toc30571 </w:instrText>
      </w:r>
      <w:r>
        <w:rPr>
          <w:rFonts w:hint="eastAsia" w:ascii="黑体" w:hAnsi="黑体" w:eastAsia="黑体" w:cs="黑体"/>
          <w:sz w:val="28"/>
          <w:szCs w:val="28"/>
        </w:rPr>
        <w:fldChar w:fldCharType="separate"/>
      </w:r>
      <w:r>
        <w:rPr>
          <w:rFonts w:hint="eastAsia" w:ascii="黑体" w:hAnsi="黑体" w:eastAsia="黑体" w:cs="黑体"/>
          <w:kern w:val="2"/>
          <w:sz w:val="28"/>
          <w:szCs w:val="28"/>
        </w:rPr>
        <w:t>第十</w:t>
      </w:r>
      <w:r>
        <w:rPr>
          <w:rFonts w:hint="eastAsia" w:ascii="黑体" w:hAnsi="黑体" w:eastAsia="黑体" w:cs="黑体"/>
          <w:kern w:val="2"/>
          <w:sz w:val="28"/>
          <w:szCs w:val="28"/>
          <w:lang w:eastAsia="zh-CN"/>
        </w:rPr>
        <w:t>四</w:t>
      </w:r>
      <w:r>
        <w:rPr>
          <w:rFonts w:hint="eastAsia" w:ascii="黑体" w:hAnsi="黑体" w:eastAsia="黑体" w:cs="黑体"/>
          <w:kern w:val="2"/>
          <w:sz w:val="28"/>
          <w:szCs w:val="28"/>
        </w:rPr>
        <w:t>章  汇聚奋进合力</w:t>
      </w:r>
      <w:r>
        <w:rPr>
          <w:rFonts w:hint="eastAsia" w:ascii="黑体" w:hAnsi="黑体" w:eastAsia="黑体" w:cs="黑体"/>
          <w:kern w:val="2"/>
          <w:sz w:val="28"/>
          <w:szCs w:val="28"/>
          <w:lang w:val="en-US" w:eastAsia="zh-CN"/>
        </w:rPr>
        <w:t>，</w:t>
      </w:r>
      <w:r>
        <w:rPr>
          <w:rFonts w:hint="eastAsia" w:ascii="黑体" w:hAnsi="黑体" w:eastAsia="黑体" w:cs="黑体"/>
          <w:kern w:val="2"/>
          <w:sz w:val="28"/>
          <w:szCs w:val="28"/>
        </w:rPr>
        <w:t>推动美好蓝图变为现实图景</w:t>
      </w:r>
      <w:r>
        <w:rPr>
          <w:rFonts w:hint="eastAsia" w:ascii="黑体" w:hAnsi="黑体" w:eastAsia="黑体" w:cs="黑体"/>
          <w:sz w:val="28"/>
          <w:szCs w:val="28"/>
        </w:rPr>
        <w:tab/>
      </w:r>
      <w:r>
        <w:rPr>
          <w:rFonts w:hint="eastAsia" w:ascii="黑体" w:hAnsi="黑体" w:eastAsia="黑体" w:cs="黑体"/>
          <w:sz w:val="28"/>
          <w:szCs w:val="28"/>
        </w:rPr>
        <w:fldChar w:fldCharType="begin"/>
      </w:r>
      <w:r>
        <w:rPr>
          <w:rFonts w:hint="eastAsia" w:ascii="黑体" w:hAnsi="黑体" w:eastAsia="黑体" w:cs="黑体"/>
          <w:sz w:val="28"/>
          <w:szCs w:val="28"/>
        </w:rPr>
        <w:instrText xml:space="preserve"> PAGEREF _Toc30571 \h </w:instrText>
      </w:r>
      <w:r>
        <w:rPr>
          <w:rFonts w:hint="eastAsia" w:ascii="黑体" w:hAnsi="黑体" w:eastAsia="黑体" w:cs="黑体"/>
          <w:sz w:val="28"/>
          <w:szCs w:val="28"/>
        </w:rPr>
        <w:fldChar w:fldCharType="separate"/>
      </w:r>
      <w:r>
        <w:rPr>
          <w:rFonts w:hint="eastAsia" w:ascii="黑体" w:hAnsi="黑体" w:eastAsia="黑体" w:cs="黑体"/>
          <w:sz w:val="28"/>
          <w:szCs w:val="28"/>
        </w:rPr>
        <w:t>60</w:t>
      </w:r>
      <w:r>
        <w:rPr>
          <w:rFonts w:hint="eastAsia" w:ascii="黑体" w:hAnsi="黑体" w:eastAsia="黑体" w:cs="黑体"/>
          <w:sz w:val="28"/>
          <w:szCs w:val="28"/>
        </w:rPr>
        <w:fldChar w:fldCharType="end"/>
      </w:r>
      <w:r>
        <w:rPr>
          <w:rFonts w:hint="eastAsia" w:ascii="黑体" w:hAnsi="黑体" w:eastAsia="黑体" w:cs="黑体"/>
          <w:sz w:val="28"/>
          <w:szCs w:val="28"/>
        </w:rPr>
        <w:fldChar w:fldCharType="end"/>
      </w:r>
    </w:p>
    <w:p w14:paraId="5DEE3926">
      <w:pPr>
        <w:pStyle w:val="19"/>
        <w:keepNext w:val="0"/>
        <w:keepLines w:val="0"/>
        <w:pageBreakBefore w:val="0"/>
        <w:widowControl w:val="0"/>
        <w:tabs>
          <w:tab w:val="right" w:leader="dot" w:pos="8845"/>
        </w:tabs>
        <w:kinsoku/>
        <w:wordWrap/>
        <w:overflowPunct/>
        <w:topLinePunct w:val="0"/>
        <w:autoSpaceDE/>
        <w:autoSpaceDN/>
        <w:bidi w:val="0"/>
        <w:adjustRightInd/>
        <w:snapToGrid/>
        <w:spacing w:line="500" w:lineRule="exact"/>
        <w:textAlignment w:val="auto"/>
        <w:rPr>
          <w:rFonts w:hint="eastAsia" w:ascii="楷体_GB2312" w:hAnsi="楷体_GB2312" w:eastAsia="楷体_GB2312" w:cs="楷体_GB2312"/>
          <w:sz w:val="28"/>
          <w:szCs w:val="28"/>
        </w:rPr>
      </w:pPr>
      <w:r>
        <w:rPr>
          <w:rFonts w:hint="eastAsia" w:ascii="楷体_GB2312" w:hAnsi="楷体_GB2312" w:eastAsia="楷体_GB2312" w:cs="楷体_GB2312"/>
          <w:sz w:val="28"/>
          <w:szCs w:val="28"/>
        </w:rPr>
        <w:fldChar w:fldCharType="begin"/>
      </w:r>
      <w:r>
        <w:rPr>
          <w:rFonts w:hint="eastAsia" w:ascii="楷体_GB2312" w:hAnsi="楷体_GB2312" w:eastAsia="楷体_GB2312" w:cs="楷体_GB2312"/>
          <w:sz w:val="28"/>
          <w:szCs w:val="28"/>
        </w:rPr>
        <w:instrText xml:space="preserve"> HYPERLINK \l _Toc12169 </w:instrText>
      </w:r>
      <w:r>
        <w:rPr>
          <w:rFonts w:hint="eastAsia" w:ascii="楷体_GB2312" w:hAnsi="楷体_GB2312" w:eastAsia="楷体_GB2312" w:cs="楷体_GB2312"/>
          <w:sz w:val="28"/>
          <w:szCs w:val="28"/>
        </w:rPr>
        <w:fldChar w:fldCharType="separate"/>
      </w:r>
      <w:r>
        <w:rPr>
          <w:rFonts w:ascii="楷体_GB2312" w:hAnsi="楷体_GB2312" w:eastAsia="楷体_GB2312" w:cs="楷体_GB2312"/>
          <w:kern w:val="21"/>
          <w:sz w:val="28"/>
          <w:szCs w:val="28"/>
        </w:rPr>
        <w:t xml:space="preserve">第一节 </w:t>
      </w:r>
      <w:r>
        <w:rPr>
          <w:rFonts w:hint="eastAsia" w:ascii="楷体_GB2312" w:hAnsi="楷体_GB2312" w:eastAsia="楷体_GB2312" w:cs="楷体_GB2312"/>
          <w:kern w:val="21"/>
          <w:sz w:val="28"/>
          <w:szCs w:val="28"/>
          <w:lang w:val="en-US" w:eastAsia="zh-CN"/>
        </w:rPr>
        <w:t xml:space="preserve"> </w:t>
      </w:r>
      <w:r>
        <w:rPr>
          <w:rFonts w:ascii="楷体_GB2312" w:hAnsi="楷体_GB2312" w:eastAsia="楷体_GB2312" w:cs="楷体_GB2312"/>
          <w:kern w:val="21"/>
          <w:sz w:val="28"/>
          <w:szCs w:val="28"/>
        </w:rPr>
        <w:t>坚持和加强党的全面领导</w:t>
      </w:r>
      <w:r>
        <w:rPr>
          <w:rFonts w:hint="eastAsia" w:ascii="楷体_GB2312" w:hAnsi="楷体_GB2312" w:eastAsia="楷体_GB2312" w:cs="楷体_GB2312"/>
          <w:sz w:val="28"/>
          <w:szCs w:val="28"/>
        </w:rPr>
        <w:tab/>
      </w:r>
      <w:r>
        <w:rPr>
          <w:rFonts w:hint="eastAsia" w:ascii="楷体_GB2312" w:hAnsi="楷体_GB2312" w:eastAsia="楷体_GB2312" w:cs="楷体_GB2312"/>
          <w:sz w:val="28"/>
          <w:szCs w:val="28"/>
        </w:rPr>
        <w:fldChar w:fldCharType="begin"/>
      </w:r>
      <w:r>
        <w:rPr>
          <w:rFonts w:hint="eastAsia" w:ascii="楷体_GB2312" w:hAnsi="楷体_GB2312" w:eastAsia="楷体_GB2312" w:cs="楷体_GB2312"/>
          <w:sz w:val="28"/>
          <w:szCs w:val="28"/>
        </w:rPr>
        <w:instrText xml:space="preserve"> PAGEREF _Toc12169 \h </w:instrText>
      </w:r>
      <w:r>
        <w:rPr>
          <w:rFonts w:hint="eastAsia" w:ascii="楷体_GB2312" w:hAnsi="楷体_GB2312" w:eastAsia="楷体_GB2312" w:cs="楷体_GB2312"/>
          <w:sz w:val="28"/>
          <w:szCs w:val="28"/>
        </w:rPr>
        <w:fldChar w:fldCharType="separate"/>
      </w:r>
      <w:r>
        <w:rPr>
          <w:rFonts w:hint="eastAsia" w:ascii="楷体_GB2312" w:hAnsi="楷体_GB2312" w:eastAsia="楷体_GB2312" w:cs="楷体_GB2312"/>
          <w:sz w:val="28"/>
          <w:szCs w:val="28"/>
        </w:rPr>
        <w:t>60</w:t>
      </w:r>
      <w:r>
        <w:rPr>
          <w:rFonts w:hint="eastAsia" w:ascii="楷体_GB2312" w:hAnsi="楷体_GB2312" w:eastAsia="楷体_GB2312" w:cs="楷体_GB2312"/>
          <w:sz w:val="28"/>
          <w:szCs w:val="28"/>
        </w:rPr>
        <w:fldChar w:fldCharType="end"/>
      </w:r>
      <w:r>
        <w:rPr>
          <w:rFonts w:hint="eastAsia" w:ascii="楷体_GB2312" w:hAnsi="楷体_GB2312" w:eastAsia="楷体_GB2312" w:cs="楷体_GB2312"/>
          <w:sz w:val="28"/>
          <w:szCs w:val="28"/>
        </w:rPr>
        <w:fldChar w:fldCharType="end"/>
      </w:r>
    </w:p>
    <w:p w14:paraId="400B8D1D">
      <w:pPr>
        <w:pStyle w:val="19"/>
        <w:keepNext w:val="0"/>
        <w:keepLines w:val="0"/>
        <w:pageBreakBefore w:val="0"/>
        <w:widowControl w:val="0"/>
        <w:tabs>
          <w:tab w:val="right" w:leader="dot" w:pos="8845"/>
        </w:tabs>
        <w:kinsoku/>
        <w:wordWrap/>
        <w:overflowPunct/>
        <w:topLinePunct w:val="0"/>
        <w:autoSpaceDE/>
        <w:autoSpaceDN/>
        <w:bidi w:val="0"/>
        <w:adjustRightInd/>
        <w:snapToGrid/>
        <w:spacing w:line="500" w:lineRule="exact"/>
        <w:textAlignment w:val="auto"/>
        <w:rPr>
          <w:rFonts w:hint="eastAsia" w:ascii="楷体_GB2312" w:hAnsi="楷体_GB2312" w:eastAsia="楷体_GB2312" w:cs="楷体_GB2312"/>
          <w:sz w:val="28"/>
          <w:szCs w:val="28"/>
        </w:rPr>
      </w:pPr>
      <w:r>
        <w:rPr>
          <w:rFonts w:hint="eastAsia" w:ascii="楷体_GB2312" w:hAnsi="楷体_GB2312" w:eastAsia="楷体_GB2312" w:cs="楷体_GB2312"/>
          <w:sz w:val="28"/>
          <w:szCs w:val="28"/>
        </w:rPr>
        <w:fldChar w:fldCharType="begin"/>
      </w:r>
      <w:r>
        <w:rPr>
          <w:rFonts w:hint="eastAsia" w:ascii="楷体_GB2312" w:hAnsi="楷体_GB2312" w:eastAsia="楷体_GB2312" w:cs="楷体_GB2312"/>
          <w:sz w:val="28"/>
          <w:szCs w:val="28"/>
        </w:rPr>
        <w:instrText xml:space="preserve"> HYPERLINK \l _Toc4960 </w:instrText>
      </w:r>
      <w:r>
        <w:rPr>
          <w:rFonts w:hint="eastAsia" w:ascii="楷体_GB2312" w:hAnsi="楷体_GB2312" w:eastAsia="楷体_GB2312" w:cs="楷体_GB2312"/>
          <w:sz w:val="28"/>
          <w:szCs w:val="28"/>
        </w:rPr>
        <w:fldChar w:fldCharType="separate"/>
      </w:r>
      <w:r>
        <w:rPr>
          <w:rFonts w:ascii="楷体_GB2312" w:hAnsi="楷体_GB2312" w:eastAsia="楷体_GB2312" w:cs="楷体_GB2312"/>
          <w:kern w:val="21"/>
          <w:sz w:val="28"/>
          <w:szCs w:val="28"/>
        </w:rPr>
        <w:t>第二节</w:t>
      </w:r>
      <w:r>
        <w:rPr>
          <w:rFonts w:hint="eastAsia" w:ascii="楷体_GB2312" w:hAnsi="楷体_GB2312" w:eastAsia="楷体_GB2312" w:cs="楷体_GB2312"/>
          <w:kern w:val="21"/>
          <w:sz w:val="28"/>
          <w:szCs w:val="28"/>
          <w:lang w:val="en-US" w:eastAsia="zh-CN"/>
        </w:rPr>
        <w:t xml:space="preserve"> </w:t>
      </w:r>
      <w:r>
        <w:rPr>
          <w:rFonts w:ascii="楷体_GB2312" w:hAnsi="楷体_GB2312" w:eastAsia="楷体_GB2312" w:cs="楷体_GB2312"/>
          <w:kern w:val="21"/>
          <w:sz w:val="28"/>
          <w:szCs w:val="28"/>
        </w:rPr>
        <w:t xml:space="preserve"> 广泛凝聚社会力量</w:t>
      </w:r>
      <w:r>
        <w:rPr>
          <w:rFonts w:hint="eastAsia" w:ascii="楷体_GB2312" w:hAnsi="楷体_GB2312" w:eastAsia="楷体_GB2312" w:cs="楷体_GB2312"/>
          <w:sz w:val="28"/>
          <w:szCs w:val="28"/>
        </w:rPr>
        <w:tab/>
      </w:r>
      <w:r>
        <w:rPr>
          <w:rFonts w:hint="eastAsia" w:ascii="楷体_GB2312" w:hAnsi="楷体_GB2312" w:eastAsia="楷体_GB2312" w:cs="楷体_GB2312"/>
          <w:sz w:val="28"/>
          <w:szCs w:val="28"/>
        </w:rPr>
        <w:fldChar w:fldCharType="begin"/>
      </w:r>
      <w:r>
        <w:rPr>
          <w:rFonts w:hint="eastAsia" w:ascii="楷体_GB2312" w:hAnsi="楷体_GB2312" w:eastAsia="楷体_GB2312" w:cs="楷体_GB2312"/>
          <w:sz w:val="28"/>
          <w:szCs w:val="28"/>
        </w:rPr>
        <w:instrText xml:space="preserve"> PAGEREF _Toc4960 \h </w:instrText>
      </w:r>
      <w:r>
        <w:rPr>
          <w:rFonts w:hint="eastAsia" w:ascii="楷体_GB2312" w:hAnsi="楷体_GB2312" w:eastAsia="楷体_GB2312" w:cs="楷体_GB2312"/>
          <w:sz w:val="28"/>
          <w:szCs w:val="28"/>
        </w:rPr>
        <w:fldChar w:fldCharType="separate"/>
      </w:r>
      <w:r>
        <w:rPr>
          <w:rFonts w:hint="eastAsia" w:ascii="楷体_GB2312" w:hAnsi="楷体_GB2312" w:eastAsia="楷体_GB2312" w:cs="楷体_GB2312"/>
          <w:sz w:val="28"/>
          <w:szCs w:val="28"/>
        </w:rPr>
        <w:t>61</w:t>
      </w:r>
      <w:r>
        <w:rPr>
          <w:rFonts w:hint="eastAsia" w:ascii="楷体_GB2312" w:hAnsi="楷体_GB2312" w:eastAsia="楷体_GB2312" w:cs="楷体_GB2312"/>
          <w:sz w:val="28"/>
          <w:szCs w:val="28"/>
        </w:rPr>
        <w:fldChar w:fldCharType="end"/>
      </w:r>
      <w:r>
        <w:rPr>
          <w:rFonts w:hint="eastAsia" w:ascii="楷体_GB2312" w:hAnsi="楷体_GB2312" w:eastAsia="楷体_GB2312" w:cs="楷体_GB2312"/>
          <w:sz w:val="28"/>
          <w:szCs w:val="28"/>
        </w:rPr>
        <w:fldChar w:fldCharType="end"/>
      </w:r>
    </w:p>
    <w:p w14:paraId="120458E6">
      <w:pPr>
        <w:pStyle w:val="19"/>
        <w:keepNext w:val="0"/>
        <w:keepLines w:val="0"/>
        <w:pageBreakBefore w:val="0"/>
        <w:widowControl w:val="0"/>
        <w:tabs>
          <w:tab w:val="right" w:leader="dot" w:pos="8845"/>
        </w:tabs>
        <w:kinsoku/>
        <w:wordWrap/>
        <w:overflowPunct/>
        <w:topLinePunct w:val="0"/>
        <w:autoSpaceDE/>
        <w:autoSpaceDN/>
        <w:bidi w:val="0"/>
        <w:adjustRightInd/>
        <w:snapToGrid/>
        <w:spacing w:line="500" w:lineRule="exact"/>
        <w:textAlignment w:val="auto"/>
        <w:rPr>
          <w:sz w:val="28"/>
          <w:szCs w:val="28"/>
        </w:rPr>
      </w:pPr>
      <w:r>
        <w:rPr>
          <w:rFonts w:hint="eastAsia" w:ascii="楷体_GB2312" w:hAnsi="楷体_GB2312" w:eastAsia="楷体_GB2312" w:cs="楷体_GB2312"/>
          <w:sz w:val="28"/>
          <w:szCs w:val="28"/>
        </w:rPr>
        <w:fldChar w:fldCharType="begin"/>
      </w:r>
      <w:r>
        <w:rPr>
          <w:rFonts w:hint="eastAsia" w:ascii="楷体_GB2312" w:hAnsi="楷体_GB2312" w:eastAsia="楷体_GB2312" w:cs="楷体_GB2312"/>
          <w:sz w:val="28"/>
          <w:szCs w:val="28"/>
        </w:rPr>
        <w:instrText xml:space="preserve"> HYPERLINK \l _Toc23606 </w:instrText>
      </w:r>
      <w:r>
        <w:rPr>
          <w:rFonts w:hint="eastAsia" w:ascii="楷体_GB2312" w:hAnsi="楷体_GB2312" w:eastAsia="楷体_GB2312" w:cs="楷体_GB2312"/>
          <w:sz w:val="28"/>
          <w:szCs w:val="28"/>
        </w:rPr>
        <w:fldChar w:fldCharType="separate"/>
      </w:r>
      <w:r>
        <w:rPr>
          <w:rFonts w:ascii="楷体_GB2312" w:hAnsi="楷体_GB2312" w:eastAsia="楷体_GB2312" w:cs="楷体_GB2312"/>
          <w:kern w:val="21"/>
          <w:sz w:val="28"/>
          <w:szCs w:val="28"/>
        </w:rPr>
        <w:t xml:space="preserve">第三节 </w:t>
      </w:r>
      <w:r>
        <w:rPr>
          <w:rFonts w:hint="eastAsia" w:ascii="楷体_GB2312" w:hAnsi="楷体_GB2312" w:eastAsia="楷体_GB2312" w:cs="楷体_GB2312"/>
          <w:kern w:val="21"/>
          <w:sz w:val="28"/>
          <w:szCs w:val="28"/>
          <w:lang w:val="en-US" w:eastAsia="zh-CN"/>
        </w:rPr>
        <w:t xml:space="preserve"> </w:t>
      </w:r>
      <w:r>
        <w:rPr>
          <w:rFonts w:ascii="楷体_GB2312" w:hAnsi="楷体_GB2312" w:eastAsia="楷体_GB2312" w:cs="楷体_GB2312"/>
          <w:kern w:val="21"/>
          <w:sz w:val="28"/>
          <w:szCs w:val="28"/>
        </w:rPr>
        <w:t>夯实规划实施保障</w:t>
      </w:r>
      <w:r>
        <w:rPr>
          <w:rFonts w:hint="eastAsia" w:ascii="楷体_GB2312" w:hAnsi="楷体_GB2312" w:eastAsia="楷体_GB2312" w:cs="楷体_GB2312"/>
          <w:sz w:val="28"/>
          <w:szCs w:val="28"/>
        </w:rPr>
        <w:tab/>
      </w:r>
      <w:r>
        <w:rPr>
          <w:rFonts w:hint="eastAsia" w:ascii="楷体_GB2312" w:hAnsi="楷体_GB2312" w:eastAsia="楷体_GB2312" w:cs="楷体_GB2312"/>
          <w:sz w:val="28"/>
          <w:szCs w:val="28"/>
        </w:rPr>
        <w:fldChar w:fldCharType="begin"/>
      </w:r>
      <w:r>
        <w:rPr>
          <w:rFonts w:hint="eastAsia" w:ascii="楷体_GB2312" w:hAnsi="楷体_GB2312" w:eastAsia="楷体_GB2312" w:cs="楷体_GB2312"/>
          <w:sz w:val="28"/>
          <w:szCs w:val="28"/>
        </w:rPr>
        <w:instrText xml:space="preserve"> PAGEREF _Toc23606 \h </w:instrText>
      </w:r>
      <w:r>
        <w:rPr>
          <w:rFonts w:hint="eastAsia" w:ascii="楷体_GB2312" w:hAnsi="楷体_GB2312" w:eastAsia="楷体_GB2312" w:cs="楷体_GB2312"/>
          <w:sz w:val="28"/>
          <w:szCs w:val="28"/>
        </w:rPr>
        <w:fldChar w:fldCharType="separate"/>
      </w:r>
      <w:r>
        <w:rPr>
          <w:rFonts w:hint="eastAsia" w:ascii="楷体_GB2312" w:hAnsi="楷体_GB2312" w:eastAsia="楷体_GB2312" w:cs="楷体_GB2312"/>
          <w:sz w:val="28"/>
          <w:szCs w:val="28"/>
        </w:rPr>
        <w:t>61</w:t>
      </w:r>
      <w:r>
        <w:rPr>
          <w:rFonts w:hint="eastAsia" w:ascii="楷体_GB2312" w:hAnsi="楷体_GB2312" w:eastAsia="楷体_GB2312" w:cs="楷体_GB2312"/>
          <w:sz w:val="28"/>
          <w:szCs w:val="28"/>
        </w:rPr>
        <w:fldChar w:fldCharType="end"/>
      </w:r>
      <w:r>
        <w:rPr>
          <w:rFonts w:hint="eastAsia" w:ascii="楷体_GB2312" w:hAnsi="楷体_GB2312" w:eastAsia="楷体_GB2312" w:cs="楷体_GB2312"/>
          <w:sz w:val="28"/>
          <w:szCs w:val="28"/>
        </w:rPr>
        <w:fldChar w:fldCharType="end"/>
      </w:r>
    </w:p>
    <w:p w14:paraId="62F65BF4">
      <w:pPr>
        <w:keepNext w:val="0"/>
        <w:keepLines w:val="0"/>
        <w:pageBreakBefore w:val="0"/>
        <w:widowControl w:val="0"/>
        <w:kinsoku/>
        <w:wordWrap/>
        <w:overflowPunct/>
        <w:topLinePunct w:val="0"/>
        <w:autoSpaceDE/>
        <w:autoSpaceDN/>
        <w:bidi w:val="0"/>
        <w:adjustRightInd/>
        <w:snapToGrid/>
        <w:spacing w:beforeLines="0" w:afterLines="0" w:line="500" w:lineRule="exact"/>
        <w:textAlignment w:val="auto"/>
        <w:rPr>
          <w:sz w:val="28"/>
          <w:szCs w:val="28"/>
        </w:rPr>
      </w:pPr>
      <w:r>
        <w:rPr>
          <w:rFonts w:hint="eastAsia" w:ascii="宋体" w:hAnsi="宋体" w:eastAsia="宋体" w:cs="宋体"/>
          <w:sz w:val="28"/>
          <w:szCs w:val="28"/>
        </w:rPr>
        <w:fldChar w:fldCharType="end"/>
      </w:r>
    </w:p>
    <w:p w14:paraId="1C99BAB3">
      <w:pPr>
        <w:spacing w:line="400" w:lineRule="exact"/>
        <w:jc w:val="center"/>
        <w:outlineLvl w:val="0"/>
        <w:rPr>
          <w:rFonts w:ascii="Times New Roman" w:hAnsi="Times New Roman" w:eastAsia="黑体" w:cs="Times New Roman"/>
          <w:b/>
          <w:bCs/>
          <w:sz w:val="28"/>
          <w:szCs w:val="28"/>
        </w:rPr>
        <w:sectPr>
          <w:footerReference r:id="rId3" w:type="default"/>
          <w:pgSz w:w="11906" w:h="16838"/>
          <w:pgMar w:top="1928" w:right="1531" w:bottom="1701" w:left="1531" w:header="0" w:footer="1417" w:gutter="0"/>
          <w:pgNumType w:fmt="decimal" w:start="1"/>
          <w:cols w:space="0" w:num="1"/>
          <w:rtlGutter w:val="0"/>
          <w:docGrid w:type="lines" w:linePitch="312" w:charSpace="0"/>
        </w:sectPr>
      </w:pPr>
    </w:p>
    <w:p w14:paraId="6100B8AA">
      <w:pPr>
        <w:pStyle w:val="2"/>
        <w:keepNext w:val="0"/>
        <w:keepLines w:val="0"/>
        <w:pageBreakBefore w:val="0"/>
        <w:widowControl w:val="0"/>
        <w:kinsoku/>
        <w:wordWrap/>
        <w:overflowPunct w:val="0"/>
        <w:topLinePunct/>
        <w:autoSpaceDE/>
        <w:autoSpaceDN/>
        <w:bidi w:val="0"/>
        <w:spacing w:line="560" w:lineRule="exact"/>
        <w:jc w:val="center"/>
        <w:textAlignment w:val="auto"/>
        <w:rPr>
          <w:rFonts w:hint="eastAsia"/>
          <w:kern w:val="21"/>
          <w:lang w:eastAsia="zh-CN"/>
        </w:rPr>
      </w:pPr>
      <w:bookmarkStart w:id="0" w:name="_Toc15322"/>
      <w:bookmarkStart w:id="1" w:name="_Toc436035274"/>
      <w:bookmarkStart w:id="2" w:name="_Toc29045"/>
      <w:bookmarkStart w:id="3" w:name="_Toc23261"/>
      <w:bookmarkStart w:id="4" w:name="_Toc1883260418"/>
      <w:bookmarkStart w:id="5" w:name="_Toc4032"/>
      <w:bookmarkStart w:id="6" w:name="_Toc22428"/>
      <w:bookmarkStart w:id="7" w:name="_Toc18721"/>
      <w:bookmarkStart w:id="8" w:name="_Toc12807"/>
      <w:r>
        <w:rPr>
          <w:rFonts w:hint="eastAsia"/>
          <w:kern w:val="21"/>
        </w:rPr>
        <w:t>第一章  “十</w:t>
      </w:r>
      <w:r>
        <w:rPr>
          <w:rFonts w:hint="eastAsia"/>
          <w:kern w:val="21"/>
          <w:lang w:eastAsia="zh-CN"/>
        </w:rPr>
        <w:t>五</w:t>
      </w:r>
      <w:r>
        <w:rPr>
          <w:rFonts w:hint="eastAsia"/>
          <w:kern w:val="21"/>
        </w:rPr>
        <w:t>五”</w:t>
      </w:r>
      <w:bookmarkEnd w:id="0"/>
      <w:r>
        <w:rPr>
          <w:rFonts w:hint="eastAsia"/>
          <w:kern w:val="21"/>
        </w:rPr>
        <w:t>时期</w:t>
      </w:r>
      <w:bookmarkEnd w:id="1"/>
      <w:bookmarkEnd w:id="2"/>
      <w:bookmarkEnd w:id="3"/>
      <w:bookmarkEnd w:id="4"/>
      <w:bookmarkEnd w:id="5"/>
      <w:bookmarkEnd w:id="6"/>
      <w:bookmarkStart w:id="9" w:name="_Toc241"/>
      <w:bookmarkStart w:id="10" w:name="_Toc9137"/>
      <w:bookmarkStart w:id="11" w:name="_Toc25542"/>
      <w:bookmarkStart w:id="12" w:name="_Toc23362"/>
      <w:bookmarkStart w:id="13" w:name="_Toc1788003964"/>
      <w:bookmarkStart w:id="14" w:name="_Toc1798848547"/>
      <w:bookmarkStart w:id="15" w:name="_Toc15983"/>
      <w:r>
        <w:rPr>
          <w:rFonts w:hint="eastAsia"/>
          <w:kern w:val="21"/>
          <w:lang w:eastAsia="zh-CN"/>
        </w:rPr>
        <w:t>是推进</w:t>
      </w:r>
      <w:r>
        <w:rPr>
          <w:rFonts w:hint="eastAsia"/>
          <w:kern w:val="21"/>
        </w:rPr>
        <w:t>中国式现代化吴江新实践</w:t>
      </w:r>
      <w:bookmarkEnd w:id="9"/>
      <w:bookmarkEnd w:id="10"/>
      <w:bookmarkEnd w:id="11"/>
      <w:bookmarkEnd w:id="12"/>
      <w:r>
        <w:rPr>
          <w:rFonts w:hint="eastAsia"/>
          <w:kern w:val="21"/>
          <w:lang w:eastAsia="zh-CN"/>
        </w:rPr>
        <w:t>取得</w:t>
      </w:r>
      <w:bookmarkEnd w:id="7"/>
    </w:p>
    <w:p w14:paraId="4C9A4C37">
      <w:pPr>
        <w:pStyle w:val="2"/>
        <w:keepNext w:val="0"/>
        <w:keepLines w:val="0"/>
        <w:pageBreakBefore w:val="0"/>
        <w:widowControl w:val="0"/>
        <w:kinsoku/>
        <w:wordWrap/>
        <w:overflowPunct w:val="0"/>
        <w:topLinePunct/>
        <w:autoSpaceDE/>
        <w:autoSpaceDN/>
        <w:bidi w:val="0"/>
        <w:spacing w:line="560" w:lineRule="exact"/>
        <w:jc w:val="center"/>
        <w:textAlignment w:val="auto"/>
        <w:rPr>
          <w:rFonts w:hint="eastAsia" w:eastAsia="黑体"/>
          <w:kern w:val="21"/>
          <w:lang w:eastAsia="zh-CN"/>
        </w:rPr>
      </w:pPr>
      <w:bookmarkStart w:id="16" w:name="_Toc4975"/>
      <w:r>
        <w:rPr>
          <w:rFonts w:hint="eastAsia"/>
          <w:kern w:val="21"/>
          <w:lang w:eastAsia="zh-CN"/>
        </w:rPr>
        <w:t>决定性进展的关键时期</w:t>
      </w:r>
      <w:bookmarkEnd w:id="8"/>
      <w:bookmarkEnd w:id="13"/>
      <w:bookmarkEnd w:id="14"/>
      <w:bookmarkEnd w:id="15"/>
      <w:bookmarkEnd w:id="16"/>
    </w:p>
    <w:p w14:paraId="4BE32712">
      <w:pPr>
        <w:keepNext w:val="0"/>
        <w:keepLines w:val="0"/>
        <w:pageBreakBefore w:val="0"/>
        <w:widowControl w:val="0"/>
        <w:kinsoku/>
        <w:wordWrap/>
        <w:overflowPunct w:val="0"/>
        <w:topLinePunct/>
        <w:autoSpaceDE/>
        <w:autoSpaceDN/>
        <w:bidi w:val="0"/>
        <w:spacing w:line="560" w:lineRule="exact"/>
        <w:ind w:firstLine="640" w:firstLineChars="200"/>
        <w:jc w:val="center"/>
        <w:textAlignment w:val="auto"/>
        <w:rPr>
          <w:rFonts w:ascii="Times New Roman" w:hAnsi="Times New Roman" w:eastAsia="仿宋_GB2312" w:cs="Times New Roman"/>
          <w:kern w:val="21"/>
          <w:sz w:val="32"/>
          <w:szCs w:val="32"/>
        </w:rPr>
      </w:pPr>
    </w:p>
    <w:p w14:paraId="543B22FD">
      <w:pPr>
        <w:pStyle w:val="3"/>
        <w:keepNext w:val="0"/>
        <w:keepLines w:val="0"/>
        <w:pageBreakBefore w:val="0"/>
        <w:widowControl w:val="0"/>
        <w:kinsoku/>
        <w:wordWrap/>
        <w:overflowPunct w:val="0"/>
        <w:topLinePunct/>
        <w:autoSpaceDE/>
        <w:autoSpaceDN/>
        <w:bidi w:val="0"/>
        <w:spacing w:before="156" w:after="156" w:line="560" w:lineRule="exact"/>
        <w:jc w:val="center"/>
        <w:textAlignment w:val="auto"/>
        <w:rPr>
          <w:rFonts w:ascii="楷体_GB2312" w:hAnsi="楷体_GB2312" w:eastAsia="楷体_GB2312" w:cs="楷体_GB2312"/>
          <w:kern w:val="21"/>
        </w:rPr>
      </w:pPr>
      <w:bookmarkStart w:id="17" w:name="_Toc3967"/>
      <w:bookmarkStart w:id="18" w:name="_Toc8992"/>
      <w:bookmarkStart w:id="19" w:name="_Toc435012501"/>
      <w:bookmarkStart w:id="20" w:name="_Toc2032879580"/>
      <w:bookmarkStart w:id="21" w:name="_Toc11700"/>
      <w:bookmarkStart w:id="22" w:name="_Toc11171"/>
      <w:bookmarkStart w:id="23" w:name="_Toc20350"/>
      <w:bookmarkStart w:id="24" w:name="_Toc392276111"/>
      <w:bookmarkStart w:id="25" w:name="_Toc3960"/>
      <w:bookmarkStart w:id="26" w:name="_Toc5602"/>
      <w:r>
        <w:rPr>
          <w:rFonts w:ascii="楷体_GB2312" w:hAnsi="楷体_GB2312" w:eastAsia="楷体_GB2312" w:cs="楷体_GB2312"/>
          <w:kern w:val="21"/>
        </w:rPr>
        <w:t xml:space="preserve">第一节 </w:t>
      </w:r>
      <w:r>
        <w:rPr>
          <w:rFonts w:hint="eastAsia" w:ascii="楷体_GB2312" w:hAnsi="楷体_GB2312" w:eastAsia="楷体_GB2312" w:cs="楷体_GB2312"/>
          <w:kern w:val="21"/>
          <w:lang w:val="en-US" w:eastAsia="zh-CN"/>
        </w:rPr>
        <w:t xml:space="preserve"> </w:t>
      </w:r>
      <w:r>
        <w:rPr>
          <w:rFonts w:hint="eastAsia" w:ascii="楷体_GB2312" w:hAnsi="楷体_GB2312" w:eastAsia="楷体_GB2312" w:cs="楷体_GB2312"/>
          <w:kern w:val="21"/>
          <w:lang w:eastAsia="zh-CN"/>
        </w:rPr>
        <w:t>发展基础</w:t>
      </w:r>
      <w:bookmarkEnd w:id="17"/>
      <w:bookmarkEnd w:id="18"/>
      <w:bookmarkEnd w:id="19"/>
      <w:bookmarkEnd w:id="20"/>
      <w:bookmarkEnd w:id="21"/>
      <w:bookmarkEnd w:id="22"/>
      <w:bookmarkEnd w:id="23"/>
      <w:bookmarkEnd w:id="24"/>
      <w:bookmarkEnd w:id="25"/>
      <w:bookmarkEnd w:id="26"/>
    </w:p>
    <w:p w14:paraId="60CF0561">
      <w:pPr>
        <w:keepNext w:val="0"/>
        <w:keepLines w:val="0"/>
        <w:pageBreakBefore w:val="0"/>
        <w:widowControl w:val="0"/>
        <w:kinsoku/>
        <w:wordWrap/>
        <w:overflowPunct w:val="0"/>
        <w:topLinePunct/>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kern w:val="21"/>
          <w:sz w:val="32"/>
          <w:szCs w:val="32"/>
          <w:highlight w:val="yellow"/>
          <w:u w:val="none"/>
          <w:lang w:eastAsia="zh-CN"/>
        </w:rPr>
      </w:pPr>
      <w:r>
        <w:rPr>
          <w:rFonts w:hint="eastAsia" w:ascii="仿宋_GB2312" w:hAnsi="仿宋_GB2312" w:eastAsia="仿宋_GB2312" w:cs="仿宋_GB2312"/>
          <w:kern w:val="21"/>
          <w:sz w:val="32"/>
          <w:szCs w:val="32"/>
          <w:highlight w:val="none"/>
          <w:u w:val="none"/>
        </w:rPr>
        <w:t>“十四五”时期</w:t>
      </w:r>
      <w:r>
        <w:rPr>
          <w:rFonts w:hint="eastAsia" w:ascii="仿宋_GB2312" w:hAnsi="仿宋_GB2312" w:eastAsia="仿宋_GB2312" w:cs="仿宋_GB2312"/>
          <w:kern w:val="21"/>
          <w:sz w:val="32"/>
          <w:szCs w:val="32"/>
          <w:highlight w:val="none"/>
          <w:u w:val="none"/>
          <w:lang w:eastAsia="zh-CN"/>
        </w:rPr>
        <w:t>，</w:t>
      </w:r>
      <w:r>
        <w:rPr>
          <w:rFonts w:hint="eastAsia" w:ascii="仿宋_GB2312" w:hAnsi="仿宋_GB2312" w:eastAsia="仿宋_GB2312" w:cs="仿宋_GB2312"/>
          <w:color w:val="auto"/>
          <w:spacing w:val="0"/>
          <w:sz w:val="32"/>
          <w:szCs w:val="32"/>
          <w:u w:val="none"/>
        </w:rPr>
        <w:t>面对</w:t>
      </w:r>
      <w:r>
        <w:rPr>
          <w:rFonts w:hint="eastAsia" w:ascii="仿宋_GB2312" w:hAnsi="仿宋_GB2312" w:eastAsia="仿宋_GB2312" w:cs="仿宋_GB2312"/>
          <w:color w:val="auto"/>
          <w:spacing w:val="0"/>
          <w:sz w:val="32"/>
          <w:szCs w:val="32"/>
          <w:u w:val="none"/>
          <w:lang w:eastAsia="zh-CN"/>
        </w:rPr>
        <w:t>错综复杂</w:t>
      </w:r>
      <w:r>
        <w:rPr>
          <w:rFonts w:hint="eastAsia" w:ascii="仿宋_GB2312" w:hAnsi="仿宋_GB2312" w:eastAsia="仿宋_GB2312" w:cs="仿宋_GB2312"/>
          <w:color w:val="auto"/>
          <w:spacing w:val="0"/>
          <w:sz w:val="32"/>
          <w:szCs w:val="32"/>
          <w:u w:val="none"/>
        </w:rPr>
        <w:t>的</w:t>
      </w:r>
      <w:r>
        <w:rPr>
          <w:rFonts w:hint="eastAsia" w:ascii="仿宋_GB2312" w:hAnsi="仿宋_GB2312" w:eastAsia="仿宋_GB2312" w:cs="仿宋_GB2312"/>
          <w:color w:val="auto"/>
          <w:spacing w:val="0"/>
          <w:sz w:val="32"/>
          <w:szCs w:val="32"/>
          <w:u w:val="none"/>
          <w:lang w:eastAsia="zh-CN"/>
        </w:rPr>
        <w:t>国际形势</w:t>
      </w:r>
      <w:r>
        <w:rPr>
          <w:rFonts w:hint="eastAsia" w:ascii="仿宋_GB2312" w:hAnsi="仿宋_GB2312" w:eastAsia="仿宋_GB2312" w:cs="仿宋_GB2312"/>
          <w:color w:val="auto"/>
          <w:spacing w:val="0"/>
          <w:sz w:val="32"/>
          <w:szCs w:val="32"/>
          <w:u w:val="none"/>
        </w:rPr>
        <w:t>和</w:t>
      </w:r>
      <w:r>
        <w:rPr>
          <w:rFonts w:hint="eastAsia" w:ascii="仿宋_GB2312" w:hAnsi="仿宋_GB2312" w:eastAsia="仿宋_GB2312" w:cs="仿宋_GB2312"/>
          <w:color w:val="auto"/>
          <w:spacing w:val="0"/>
          <w:sz w:val="32"/>
          <w:szCs w:val="32"/>
          <w:u w:val="none"/>
          <w:lang w:eastAsia="zh-CN"/>
        </w:rPr>
        <w:t>艰巨繁重的改革发展稳定任务</w:t>
      </w:r>
      <w:r>
        <w:rPr>
          <w:rFonts w:hint="eastAsia" w:ascii="仿宋_GB2312" w:hAnsi="仿宋_GB2312" w:eastAsia="仿宋_GB2312" w:cs="仿宋_GB2312"/>
          <w:b w:val="0"/>
          <w:snapToGrid w:val="0"/>
          <w:spacing w:val="0"/>
          <w:sz w:val="32"/>
          <w:szCs w:val="32"/>
          <w:u w:val="none"/>
          <w:shd w:val="clear" w:color="auto" w:fill="FFFFFF"/>
        </w:rPr>
        <w:t>，</w:t>
      </w:r>
      <w:r>
        <w:rPr>
          <w:rFonts w:hint="eastAsia" w:ascii="仿宋_GB2312" w:hAnsi="仿宋_GB2312" w:eastAsia="仿宋_GB2312" w:cs="仿宋_GB2312"/>
          <w:b w:val="0"/>
          <w:snapToGrid/>
          <w:color w:val="auto"/>
          <w:spacing w:val="0"/>
          <w:sz w:val="32"/>
          <w:szCs w:val="32"/>
          <w:u w:val="none"/>
          <w:shd w:val="clear" w:color="auto" w:fill="auto"/>
          <w:lang w:val="en-US" w:eastAsia="zh-CN"/>
        </w:rPr>
        <w:t>吴江</w:t>
      </w:r>
      <w:r>
        <w:rPr>
          <w:rFonts w:hint="eastAsia" w:ascii="仿宋_GB2312" w:hAnsi="仿宋_GB2312" w:eastAsia="仿宋_GB2312" w:cs="仿宋_GB2312"/>
          <w:b w:val="0"/>
          <w:snapToGrid w:val="0"/>
          <w:spacing w:val="0"/>
          <w:sz w:val="32"/>
          <w:szCs w:val="32"/>
          <w:u w:val="none"/>
          <w:shd w:val="clear" w:color="auto" w:fill="FFFFFF"/>
          <w:lang w:eastAsia="zh-CN"/>
        </w:rPr>
        <w:t>坚持以习近</w:t>
      </w:r>
      <w:r>
        <w:rPr>
          <w:rFonts w:hint="eastAsia" w:ascii="仿宋_GB2312" w:hAnsi="仿宋_GB2312" w:eastAsia="仿宋_GB2312" w:cs="仿宋_GB2312"/>
          <w:b w:val="0"/>
          <w:snapToGrid/>
          <w:color w:val="auto"/>
          <w:spacing w:val="0"/>
          <w:sz w:val="32"/>
          <w:szCs w:val="32"/>
          <w:u w:val="none"/>
          <w:shd w:val="clear" w:color="auto" w:fill="auto"/>
          <w:lang w:eastAsia="zh-CN"/>
        </w:rPr>
        <w:t>平新时代</w:t>
      </w:r>
      <w:r>
        <w:rPr>
          <w:rFonts w:hint="eastAsia" w:ascii="仿宋_GB2312" w:hAnsi="仿宋_GB2312" w:eastAsia="仿宋_GB2312" w:cs="仿宋_GB2312"/>
          <w:b w:val="0"/>
          <w:snapToGrid/>
          <w:color w:val="auto"/>
          <w:spacing w:val="0"/>
          <w:sz w:val="32"/>
          <w:szCs w:val="32"/>
          <w:u w:val="none"/>
          <w:shd w:val="clear" w:color="auto" w:fill="auto"/>
        </w:rPr>
        <w:t>中国特色社会主义思想为指导，</w:t>
      </w:r>
      <w:r>
        <w:rPr>
          <w:rFonts w:hint="eastAsia" w:ascii="仿宋_GB2312" w:hAnsi="仿宋_GB2312" w:eastAsia="仿宋_GB2312" w:cs="仿宋_GB2312"/>
          <w:kern w:val="21"/>
          <w:sz w:val="32"/>
          <w:szCs w:val="32"/>
          <w:u w:val="none"/>
        </w:rPr>
        <w:t>紧扣“一体化”“高质量”两个关键词，</w:t>
      </w:r>
      <w:r>
        <w:rPr>
          <w:rFonts w:hint="eastAsia" w:ascii="仿宋_GB2312" w:hAnsi="仿宋_GB2312" w:eastAsia="仿宋_GB2312" w:cs="仿宋_GB2312"/>
          <w:b w:val="0"/>
          <w:snapToGrid/>
          <w:color w:val="auto"/>
          <w:spacing w:val="0"/>
          <w:sz w:val="32"/>
          <w:szCs w:val="32"/>
          <w:u w:val="none"/>
          <w:shd w:val="clear" w:color="auto" w:fill="auto"/>
          <w:lang w:eastAsia="zh-CN"/>
        </w:rPr>
        <w:t>攻坚克难、砥砺奋进</w:t>
      </w:r>
      <w:r>
        <w:rPr>
          <w:rFonts w:hint="eastAsia" w:ascii="仿宋_GB2312" w:hAnsi="仿宋_GB2312" w:eastAsia="仿宋_GB2312" w:cs="仿宋_GB2312"/>
          <w:b w:val="0"/>
          <w:snapToGrid/>
          <w:color w:val="auto"/>
          <w:spacing w:val="0"/>
          <w:sz w:val="32"/>
          <w:szCs w:val="32"/>
          <w:u w:val="none"/>
          <w:shd w:val="clear" w:color="auto" w:fill="auto"/>
        </w:rPr>
        <w:t>，</w:t>
      </w:r>
      <w:r>
        <w:rPr>
          <w:rFonts w:hint="eastAsia" w:ascii="仿宋_GB2312" w:hAnsi="仿宋_GB2312" w:eastAsia="仿宋_GB2312" w:cs="仿宋_GB2312"/>
          <w:color w:val="auto"/>
          <w:sz w:val="32"/>
          <w:szCs w:val="32"/>
          <w:u w:val="none"/>
        </w:rPr>
        <w:t>经受住世纪疫情严重冲击，有效应对一系列重大风险挑战</w:t>
      </w:r>
      <w:r>
        <w:rPr>
          <w:rFonts w:hint="eastAsia" w:ascii="仿宋_GB2312" w:hAnsi="仿宋_GB2312" w:eastAsia="仿宋_GB2312" w:cs="仿宋_GB2312"/>
          <w:b w:val="0"/>
          <w:snapToGrid/>
          <w:color w:val="auto"/>
          <w:spacing w:val="0"/>
          <w:sz w:val="32"/>
          <w:szCs w:val="32"/>
          <w:u w:val="none"/>
          <w:shd w:val="clear" w:color="auto" w:fill="auto"/>
        </w:rPr>
        <w:t>，</w:t>
      </w:r>
      <w:r>
        <w:rPr>
          <w:rFonts w:hint="eastAsia" w:ascii="仿宋_GB2312" w:hAnsi="仿宋_GB2312" w:eastAsia="仿宋_GB2312" w:cs="仿宋_GB2312"/>
          <w:b w:val="0"/>
          <w:snapToGrid/>
          <w:color w:val="auto"/>
          <w:spacing w:val="0"/>
          <w:sz w:val="32"/>
          <w:szCs w:val="32"/>
          <w:u w:val="none"/>
          <w:shd w:val="clear" w:color="auto" w:fill="auto"/>
          <w:lang w:eastAsia="zh-CN"/>
        </w:rPr>
        <w:t>推动</w:t>
      </w:r>
      <w:r>
        <w:rPr>
          <w:rFonts w:hint="eastAsia" w:ascii="仿宋_GB2312" w:hAnsi="仿宋_GB2312" w:eastAsia="仿宋_GB2312" w:cs="仿宋_GB2312"/>
          <w:b w:val="0"/>
          <w:snapToGrid/>
          <w:color w:val="auto"/>
          <w:spacing w:val="0"/>
          <w:sz w:val="32"/>
          <w:szCs w:val="32"/>
          <w:u w:val="none"/>
          <w:shd w:val="clear" w:color="auto" w:fill="auto"/>
        </w:rPr>
        <w:t>经济社会</w:t>
      </w:r>
      <w:r>
        <w:rPr>
          <w:rFonts w:hint="eastAsia" w:ascii="仿宋_GB2312" w:hAnsi="仿宋_GB2312" w:eastAsia="仿宋_GB2312" w:cs="仿宋_GB2312"/>
          <w:b w:val="0"/>
          <w:snapToGrid/>
          <w:color w:val="auto"/>
          <w:spacing w:val="0"/>
          <w:sz w:val="32"/>
          <w:szCs w:val="32"/>
          <w:u w:val="none"/>
          <w:shd w:val="clear" w:color="auto" w:fill="auto"/>
          <w:lang w:eastAsia="zh-CN"/>
        </w:rPr>
        <w:t>持续高质量</w:t>
      </w:r>
      <w:r>
        <w:rPr>
          <w:rFonts w:hint="eastAsia" w:ascii="仿宋_GB2312" w:hAnsi="仿宋_GB2312" w:eastAsia="仿宋_GB2312" w:cs="仿宋_GB2312"/>
          <w:b w:val="0"/>
          <w:snapToGrid/>
          <w:color w:val="auto"/>
          <w:spacing w:val="0"/>
          <w:sz w:val="32"/>
          <w:szCs w:val="32"/>
          <w:u w:val="none"/>
          <w:shd w:val="clear" w:color="auto" w:fill="auto"/>
        </w:rPr>
        <w:t>发展</w:t>
      </w:r>
      <w:r>
        <w:rPr>
          <w:rFonts w:hint="eastAsia" w:ascii="仿宋_GB2312" w:hAnsi="仿宋_GB2312" w:eastAsia="仿宋_GB2312" w:cs="仿宋_GB2312"/>
          <w:b w:val="0"/>
          <w:snapToGrid/>
          <w:color w:val="auto"/>
          <w:spacing w:val="0"/>
          <w:sz w:val="32"/>
          <w:szCs w:val="32"/>
          <w:u w:val="none"/>
          <w:shd w:val="clear" w:color="auto" w:fill="auto"/>
          <w:lang w:eastAsia="zh-CN"/>
        </w:rPr>
        <w:t>，</w:t>
      </w:r>
      <w:r>
        <w:rPr>
          <w:rFonts w:hint="eastAsia" w:ascii="仿宋_GB2312" w:hAnsi="仿宋_GB2312" w:eastAsia="仿宋_GB2312" w:cs="仿宋_GB2312"/>
          <w:kern w:val="21"/>
          <w:sz w:val="32"/>
          <w:szCs w:val="32"/>
          <w:u w:val="none"/>
        </w:rPr>
        <w:t>规划目标任务基本顺利完成，</w:t>
      </w:r>
      <w:r>
        <w:rPr>
          <w:rFonts w:hint="eastAsia" w:ascii="仿宋_GB2312" w:hAnsi="仿宋_GB2312" w:eastAsia="仿宋_GB2312" w:cs="仿宋_GB2312"/>
          <w:b w:val="0"/>
          <w:snapToGrid/>
          <w:color w:val="auto"/>
          <w:spacing w:val="0"/>
          <w:sz w:val="32"/>
          <w:szCs w:val="32"/>
          <w:u w:val="none"/>
          <w:shd w:val="clear" w:color="auto" w:fill="auto"/>
          <w:lang w:val="en-US" w:eastAsia="zh-CN"/>
        </w:rPr>
        <w:t>中国式现代化吴江新实践迈出坚实步伐。</w:t>
      </w:r>
      <w:r>
        <w:rPr>
          <w:rFonts w:hint="eastAsia" w:ascii="仿宋_GB2312" w:hAnsi="仿宋_GB2312" w:eastAsia="仿宋_GB2312" w:cs="仿宋_GB2312"/>
          <w:kern w:val="21"/>
          <w:sz w:val="32"/>
          <w:szCs w:val="32"/>
          <w:highlight w:val="none"/>
          <w:u w:val="none"/>
        </w:rPr>
        <w:t>地区生产总值</w:t>
      </w:r>
      <w:r>
        <w:rPr>
          <w:rFonts w:hint="eastAsia" w:ascii="仿宋_GB2312" w:hAnsi="仿宋_GB2312" w:eastAsia="仿宋_GB2312" w:cs="仿宋_GB2312"/>
          <w:kern w:val="21"/>
          <w:sz w:val="32"/>
          <w:szCs w:val="32"/>
          <w:highlight w:val="none"/>
          <w:u w:val="none"/>
          <w:lang w:eastAsia="zh-CN"/>
        </w:rPr>
        <w:t>由</w:t>
      </w:r>
      <w:r>
        <w:rPr>
          <w:rFonts w:hint="eastAsia" w:ascii="仿宋_GB2312" w:hAnsi="仿宋_GB2312" w:eastAsia="仿宋_GB2312" w:cs="仿宋_GB2312"/>
          <w:kern w:val="21"/>
          <w:sz w:val="32"/>
          <w:szCs w:val="32"/>
          <w:highlight w:val="none"/>
          <w:u w:val="none"/>
        </w:rPr>
        <w:t>2002.83</w:t>
      </w:r>
      <w:r>
        <w:rPr>
          <w:rFonts w:hint="eastAsia" w:ascii="仿宋_GB2312" w:hAnsi="仿宋_GB2312" w:eastAsia="仿宋_GB2312" w:cs="仿宋_GB2312"/>
          <w:kern w:val="21"/>
          <w:sz w:val="32"/>
          <w:szCs w:val="32"/>
          <w:highlight w:val="none"/>
          <w:u w:val="none"/>
          <w:lang w:val="en-US" w:eastAsia="zh-CN"/>
        </w:rPr>
        <w:t>亿元增长至</w:t>
      </w:r>
      <w:r>
        <w:rPr>
          <w:rFonts w:hint="eastAsia" w:ascii="仿宋_GB2312" w:hAnsi="仿宋_GB2312" w:eastAsia="仿宋_GB2312" w:cs="仿宋_GB2312"/>
          <w:kern w:val="21"/>
          <w:sz w:val="32"/>
          <w:szCs w:val="32"/>
          <w:highlight w:val="none"/>
          <w:u w:val="none"/>
        </w:rPr>
        <w:t>2762.87</w:t>
      </w:r>
      <w:r>
        <w:rPr>
          <w:rFonts w:hint="eastAsia" w:ascii="仿宋_GB2312" w:hAnsi="仿宋_GB2312" w:eastAsia="仿宋_GB2312" w:cs="仿宋_GB2312"/>
          <w:kern w:val="21"/>
          <w:sz w:val="32"/>
          <w:szCs w:val="32"/>
          <w:highlight w:val="none"/>
          <w:u w:val="none"/>
          <w:lang w:val="en-US" w:eastAsia="zh-CN"/>
        </w:rPr>
        <w:t>亿元，</w:t>
      </w:r>
      <w:r>
        <w:rPr>
          <w:rFonts w:hint="eastAsia" w:ascii="仿宋_GB2312" w:hAnsi="仿宋_GB2312" w:eastAsia="仿宋_GB2312" w:cs="仿宋_GB2312"/>
          <w:kern w:val="21"/>
          <w:sz w:val="32"/>
          <w:szCs w:val="32"/>
          <w:highlight w:val="none"/>
          <w:u w:val="none"/>
        </w:rPr>
        <w:t>年均增长5.</w:t>
      </w:r>
      <w:r>
        <w:rPr>
          <w:rFonts w:hint="eastAsia" w:ascii="仿宋_GB2312" w:hAnsi="仿宋_GB2312" w:eastAsia="仿宋_GB2312" w:cs="仿宋_GB2312"/>
          <w:kern w:val="21"/>
          <w:sz w:val="32"/>
          <w:szCs w:val="32"/>
          <w:highlight w:val="none"/>
          <w:u w:val="none"/>
          <w:lang w:val="en-US" w:eastAsia="zh-CN"/>
        </w:rPr>
        <w:t>5</w:t>
      </w:r>
      <w:r>
        <w:rPr>
          <w:rFonts w:hint="eastAsia" w:ascii="仿宋_GB2312" w:hAnsi="仿宋_GB2312" w:eastAsia="仿宋_GB2312" w:cs="仿宋_GB2312"/>
          <w:kern w:val="21"/>
          <w:sz w:val="32"/>
          <w:szCs w:val="32"/>
          <w:highlight w:val="none"/>
          <w:u w:val="none"/>
        </w:rPr>
        <w:t>%</w:t>
      </w:r>
      <w:r>
        <w:rPr>
          <w:rFonts w:hint="eastAsia" w:ascii="仿宋_GB2312" w:hAnsi="仿宋_GB2312" w:eastAsia="仿宋_GB2312" w:cs="仿宋_GB2312"/>
          <w:kern w:val="21"/>
          <w:sz w:val="32"/>
          <w:szCs w:val="32"/>
          <w:highlight w:val="none"/>
          <w:u w:val="none"/>
          <w:lang w:eastAsia="zh-CN"/>
        </w:rPr>
        <w:t>；</w:t>
      </w:r>
      <w:r>
        <w:rPr>
          <w:rFonts w:hint="eastAsia" w:ascii="仿宋_GB2312" w:hAnsi="仿宋_GB2312" w:eastAsia="仿宋_GB2312" w:cs="仿宋_GB2312"/>
          <w:bCs/>
          <w:kern w:val="21"/>
          <w:sz w:val="32"/>
          <w:szCs w:val="32"/>
          <w:highlight w:val="none"/>
          <w:u w:val="none"/>
          <w:lang w:eastAsia="zh-CN"/>
        </w:rPr>
        <w:t>人均</w:t>
      </w:r>
      <w:r>
        <w:rPr>
          <w:rFonts w:hint="eastAsia" w:ascii="仿宋_GB2312" w:hAnsi="仿宋_GB2312" w:eastAsia="仿宋_GB2312" w:cs="仿宋_GB2312"/>
          <w:bCs/>
          <w:kern w:val="21"/>
          <w:sz w:val="32"/>
          <w:szCs w:val="32"/>
          <w:highlight w:val="none"/>
          <w:u w:val="none"/>
          <w:lang w:val="en-US" w:eastAsia="zh-CN"/>
        </w:rPr>
        <w:t>GDP由</w:t>
      </w:r>
      <w:r>
        <w:rPr>
          <w:rFonts w:hint="eastAsia" w:ascii="仿宋_GB2312" w:hAnsi="仿宋_GB2312" w:eastAsia="仿宋_GB2312" w:cs="仿宋_GB2312"/>
          <w:bCs/>
          <w:kern w:val="21"/>
          <w:sz w:val="32"/>
          <w:szCs w:val="32"/>
          <w:highlight w:val="none"/>
          <w:u w:val="none"/>
        </w:rPr>
        <w:t>129873</w:t>
      </w:r>
      <w:r>
        <w:rPr>
          <w:rFonts w:hint="eastAsia" w:ascii="仿宋_GB2312" w:hAnsi="仿宋_GB2312" w:eastAsia="仿宋_GB2312" w:cs="仿宋_GB2312"/>
          <w:bCs/>
          <w:kern w:val="21"/>
          <w:sz w:val="32"/>
          <w:szCs w:val="32"/>
          <w:highlight w:val="none"/>
          <w:u w:val="none"/>
          <w:lang w:val="en-US" w:eastAsia="zh-CN"/>
        </w:rPr>
        <w:t>元增长至</w:t>
      </w:r>
      <w:r>
        <w:rPr>
          <w:rFonts w:hint="eastAsia" w:ascii="仿宋_GB2312" w:hAnsi="仿宋_GB2312" w:eastAsia="仿宋_GB2312" w:cs="仿宋_GB2312"/>
          <w:bCs/>
          <w:kern w:val="21"/>
          <w:sz w:val="32"/>
          <w:szCs w:val="32"/>
          <w:highlight w:val="none"/>
          <w:u w:val="none"/>
        </w:rPr>
        <w:t>175076</w:t>
      </w:r>
      <w:r>
        <w:rPr>
          <w:rFonts w:hint="eastAsia" w:ascii="仿宋_GB2312" w:hAnsi="仿宋_GB2312" w:eastAsia="仿宋_GB2312" w:cs="仿宋_GB2312"/>
          <w:bCs/>
          <w:kern w:val="21"/>
          <w:sz w:val="32"/>
          <w:szCs w:val="32"/>
          <w:highlight w:val="none"/>
          <w:u w:val="none"/>
          <w:lang w:val="en-US" w:eastAsia="zh-CN"/>
        </w:rPr>
        <w:t>元；</w:t>
      </w:r>
      <w:r>
        <w:rPr>
          <w:rFonts w:hint="default" w:ascii="仿宋_GB2312" w:hAnsi="仿宋_GB2312" w:eastAsia="仿宋_GB2312" w:cs="仿宋_GB2312"/>
          <w:bCs/>
          <w:kern w:val="21"/>
          <w:sz w:val="32"/>
          <w:szCs w:val="32"/>
          <w:highlight w:val="none"/>
          <w:u w:val="none"/>
        </w:rPr>
        <w:t>规上工业总产值</w:t>
      </w:r>
      <w:r>
        <w:rPr>
          <w:rFonts w:hint="eastAsia" w:ascii="仿宋_GB2312" w:hAnsi="仿宋_GB2312" w:eastAsia="仿宋_GB2312" w:cs="仿宋_GB2312"/>
          <w:bCs/>
          <w:kern w:val="21"/>
          <w:sz w:val="32"/>
          <w:szCs w:val="32"/>
          <w:highlight w:val="none"/>
          <w:u w:val="none"/>
          <w:lang w:eastAsia="zh-CN"/>
        </w:rPr>
        <w:t>由</w:t>
      </w:r>
      <w:r>
        <w:rPr>
          <w:rFonts w:hint="eastAsia" w:ascii="仿宋_GB2312" w:hAnsi="仿宋_GB2312" w:eastAsia="仿宋_GB2312" w:cs="仿宋_GB2312"/>
          <w:bCs/>
          <w:kern w:val="21"/>
          <w:sz w:val="32"/>
          <w:szCs w:val="32"/>
          <w:highlight w:val="none"/>
          <w:u w:val="none"/>
          <w:lang w:val="en-US" w:eastAsia="zh-CN"/>
        </w:rPr>
        <w:t>3728.61亿元增长至</w:t>
      </w:r>
      <w:r>
        <w:rPr>
          <w:rFonts w:hint="eastAsia" w:ascii="仿宋_GB2312" w:hAnsi="仿宋_GB2312" w:eastAsia="仿宋_GB2312" w:cs="仿宋_GB2312"/>
          <w:bCs/>
          <w:kern w:val="21"/>
          <w:sz w:val="32"/>
          <w:szCs w:val="32"/>
          <w:highlight w:val="none"/>
          <w:u w:val="none"/>
        </w:rPr>
        <w:t>5</w:t>
      </w:r>
      <w:r>
        <w:rPr>
          <w:rFonts w:hint="eastAsia" w:ascii="仿宋_GB2312" w:hAnsi="仿宋_GB2312" w:eastAsia="仿宋_GB2312" w:cs="仿宋_GB2312"/>
          <w:bCs/>
          <w:kern w:val="21"/>
          <w:sz w:val="32"/>
          <w:szCs w:val="32"/>
          <w:highlight w:val="none"/>
          <w:u w:val="none"/>
          <w:lang w:val="en-US" w:eastAsia="zh-CN"/>
        </w:rPr>
        <w:t>838.07亿元</w:t>
      </w:r>
      <w:r>
        <w:rPr>
          <w:rFonts w:hint="eastAsia" w:ascii="仿宋_GB2312" w:hAnsi="仿宋_GB2312" w:eastAsia="仿宋_GB2312" w:cs="仿宋_GB2312"/>
          <w:kern w:val="21"/>
          <w:sz w:val="32"/>
          <w:szCs w:val="32"/>
          <w:highlight w:val="none"/>
          <w:u w:val="none"/>
          <w:lang w:val="en-US" w:eastAsia="zh-CN"/>
        </w:rPr>
        <w:t>，</w:t>
      </w:r>
      <w:r>
        <w:rPr>
          <w:rStyle w:val="44"/>
          <w:rFonts w:hint="default" w:ascii="仿宋_GB2312" w:hAnsi="仿宋_GB2312"/>
          <w:b w:val="0"/>
          <w:bCs w:val="0"/>
          <w:kern w:val="21"/>
          <w:highlight w:val="none"/>
          <w:u w:val="none"/>
        </w:rPr>
        <w:t>年均</w:t>
      </w:r>
      <w:r>
        <w:rPr>
          <w:rFonts w:hint="eastAsia" w:ascii="仿宋_GB2312" w:hAnsi="仿宋_GB2312" w:eastAsia="仿宋_GB2312" w:cs="仿宋_GB2312"/>
          <w:kern w:val="21"/>
          <w:sz w:val="32"/>
          <w:szCs w:val="32"/>
          <w:highlight w:val="none"/>
          <w:u w:val="none"/>
        </w:rPr>
        <w:t>增长</w:t>
      </w:r>
      <w:r>
        <w:rPr>
          <w:rFonts w:hint="eastAsia" w:ascii="仿宋_GB2312" w:hAnsi="仿宋_GB2312" w:eastAsia="仿宋_GB2312" w:cs="仿宋_GB2312"/>
          <w:kern w:val="21"/>
          <w:sz w:val="32"/>
          <w:szCs w:val="32"/>
          <w:highlight w:val="none"/>
          <w:u w:val="none"/>
          <w:lang w:val="en-US" w:eastAsia="zh-CN"/>
        </w:rPr>
        <w:t>7.8</w:t>
      </w:r>
      <w:r>
        <w:rPr>
          <w:rStyle w:val="44"/>
          <w:rFonts w:hint="default" w:ascii="仿宋_GB2312" w:hAnsi="仿宋_GB2312"/>
          <w:b w:val="0"/>
          <w:bCs w:val="0"/>
          <w:kern w:val="21"/>
          <w:highlight w:val="none"/>
          <w:u w:val="none"/>
        </w:rPr>
        <w:t>%</w:t>
      </w:r>
      <w:r>
        <w:rPr>
          <w:rFonts w:hint="eastAsia" w:ascii="仿宋_GB2312" w:hAnsi="仿宋_GB2312" w:eastAsia="仿宋_GB2312" w:cs="仿宋_GB2312"/>
          <w:kern w:val="21"/>
          <w:sz w:val="32"/>
          <w:szCs w:val="32"/>
          <w:highlight w:val="none"/>
          <w:u w:val="none"/>
          <w:lang w:val="en-US" w:eastAsia="zh-CN"/>
        </w:rPr>
        <w:t>；</w:t>
      </w:r>
      <w:r>
        <w:rPr>
          <w:rFonts w:ascii="仿宋_GB2312" w:hAnsi="仿宋_GB2312" w:eastAsia="仿宋_GB2312" w:cs="仿宋_GB2312"/>
          <w:sz w:val="32"/>
          <w:szCs w:val="32"/>
          <w:highlight w:val="none"/>
          <w:u w:val="none"/>
        </w:rPr>
        <w:t>高新技术企业</w:t>
      </w:r>
      <w:r>
        <w:rPr>
          <w:rFonts w:hint="eastAsia" w:ascii="仿宋_GB2312" w:hAnsi="仿宋_GB2312" w:eastAsia="仿宋_GB2312" w:cs="仿宋_GB2312"/>
          <w:sz w:val="32"/>
          <w:szCs w:val="32"/>
          <w:highlight w:val="none"/>
          <w:u w:val="none"/>
          <w:lang w:eastAsia="zh-CN"/>
        </w:rPr>
        <w:t>由</w:t>
      </w:r>
      <w:r>
        <w:rPr>
          <w:rFonts w:ascii="仿宋_GB2312" w:hAnsi="仿宋_GB2312" w:eastAsia="仿宋_GB2312" w:cs="仿宋_GB2312"/>
          <w:sz w:val="32"/>
          <w:szCs w:val="32"/>
          <w:highlight w:val="none"/>
          <w:u w:val="none"/>
        </w:rPr>
        <w:t>919</w:t>
      </w:r>
      <w:r>
        <w:rPr>
          <w:rFonts w:hint="eastAsia" w:ascii="仿宋_GB2312" w:hAnsi="仿宋_GB2312" w:eastAsia="仿宋_GB2312" w:cs="仿宋_GB2312"/>
          <w:sz w:val="32"/>
          <w:szCs w:val="32"/>
          <w:highlight w:val="none"/>
          <w:u w:val="none"/>
        </w:rPr>
        <w:t>家增长至</w:t>
      </w:r>
      <w:r>
        <w:rPr>
          <w:rFonts w:hint="eastAsia" w:ascii="仿宋_GB2312" w:hAnsi="仿宋_GB2312" w:eastAsia="仿宋_GB2312" w:cs="仿宋_GB2312"/>
          <w:sz w:val="32"/>
          <w:szCs w:val="32"/>
          <w:highlight w:val="none"/>
          <w:u w:val="none"/>
          <w:lang w:val="en-US" w:eastAsia="zh-CN"/>
        </w:rPr>
        <w:t>1706</w:t>
      </w:r>
      <w:r>
        <w:rPr>
          <w:rFonts w:hint="eastAsia" w:ascii="仿宋_GB2312" w:hAnsi="仿宋_GB2312" w:eastAsia="仿宋_GB2312" w:cs="仿宋_GB2312"/>
          <w:sz w:val="32"/>
          <w:szCs w:val="32"/>
          <w:highlight w:val="none"/>
          <w:u w:val="none"/>
        </w:rPr>
        <w:t>家，国家</w:t>
      </w:r>
      <w:bookmarkStart w:id="739" w:name="_GoBack"/>
      <w:bookmarkEnd w:id="739"/>
      <w:r>
        <w:rPr>
          <w:rFonts w:hint="eastAsia" w:ascii="仿宋_GB2312" w:hAnsi="仿宋_GB2312" w:eastAsia="仿宋_GB2312" w:cs="仿宋_GB2312"/>
          <w:sz w:val="32"/>
          <w:szCs w:val="32"/>
          <w:highlight w:val="none"/>
          <w:u w:val="none"/>
        </w:rPr>
        <w:t>级科技型中小企业</w:t>
      </w:r>
      <w:r>
        <w:rPr>
          <w:rFonts w:hint="eastAsia" w:ascii="仿宋_GB2312" w:hAnsi="仿宋_GB2312" w:eastAsia="仿宋_GB2312" w:cs="仿宋_GB2312"/>
          <w:sz w:val="32"/>
          <w:szCs w:val="32"/>
          <w:highlight w:val="none"/>
          <w:u w:val="none"/>
          <w:lang w:eastAsia="zh-CN"/>
        </w:rPr>
        <w:t>数量翻倍</w:t>
      </w:r>
      <w:r>
        <w:rPr>
          <w:rFonts w:hint="eastAsia" w:ascii="仿宋_GB2312" w:hAnsi="仿宋_GB2312" w:eastAsia="仿宋_GB2312" w:cs="仿宋_GB2312"/>
          <w:bCs/>
          <w:kern w:val="21"/>
          <w:sz w:val="32"/>
          <w:szCs w:val="32"/>
          <w:highlight w:val="none"/>
          <w:u w:val="none"/>
          <w:lang w:eastAsia="zh-CN"/>
        </w:rPr>
        <w:t>，</w:t>
      </w:r>
      <w:r>
        <w:rPr>
          <w:rStyle w:val="44"/>
          <w:rFonts w:hint="default" w:ascii="仿宋_GB2312" w:hAnsi="仿宋_GB2312"/>
          <w:b w:val="0"/>
          <w:bCs w:val="0"/>
          <w:kern w:val="21"/>
          <w:highlight w:val="none"/>
          <w:u w:val="none"/>
        </w:rPr>
        <w:t>民营企业总数突破</w:t>
      </w:r>
      <w:r>
        <w:rPr>
          <w:rFonts w:hint="eastAsia" w:ascii="仿宋_GB2312" w:hAnsi="仿宋_GB2312" w:eastAsia="仿宋_GB2312" w:cs="仿宋_GB2312"/>
          <w:kern w:val="21"/>
          <w:sz w:val="32"/>
          <w:szCs w:val="32"/>
          <w:highlight w:val="none"/>
          <w:u w:val="none"/>
        </w:rPr>
        <w:t>10万</w:t>
      </w:r>
      <w:r>
        <w:rPr>
          <w:rStyle w:val="44"/>
          <w:rFonts w:hint="default" w:ascii="仿宋_GB2312" w:hAnsi="仿宋_GB2312"/>
          <w:b w:val="0"/>
          <w:bCs w:val="0"/>
          <w:kern w:val="21"/>
          <w:highlight w:val="none"/>
          <w:u w:val="none"/>
        </w:rPr>
        <w:t>家</w:t>
      </w:r>
      <w:r>
        <w:rPr>
          <w:rStyle w:val="44"/>
          <w:rFonts w:hint="eastAsia" w:ascii="仿宋_GB2312" w:hAnsi="仿宋_GB2312" w:eastAsia="仿宋_GB2312"/>
          <w:b w:val="0"/>
          <w:bCs w:val="0"/>
          <w:kern w:val="21"/>
          <w:highlight w:val="none"/>
          <w:u w:val="none"/>
          <w:lang w:eastAsia="zh-CN"/>
        </w:rPr>
        <w:t>，</w:t>
      </w:r>
      <w:r>
        <w:rPr>
          <w:rFonts w:hint="eastAsia" w:ascii="仿宋_GB2312" w:hAnsi="仿宋_GB2312" w:eastAsia="仿宋_GB2312" w:cs="仿宋_GB2312"/>
          <w:sz w:val="32"/>
          <w:szCs w:val="32"/>
          <w:highlight w:val="none"/>
          <w:u w:val="none"/>
        </w:rPr>
        <w:t>累计上市企业</w:t>
      </w:r>
      <w:r>
        <w:rPr>
          <w:rFonts w:hint="eastAsia" w:ascii="仿宋_GB2312" w:hAnsi="仿宋_GB2312" w:eastAsia="仿宋_GB2312" w:cs="仿宋_GB2312"/>
          <w:sz w:val="32"/>
          <w:szCs w:val="32"/>
          <w:highlight w:val="none"/>
          <w:u w:val="none"/>
          <w:lang w:eastAsia="zh-CN"/>
        </w:rPr>
        <w:t>由</w:t>
      </w:r>
      <w:r>
        <w:rPr>
          <w:rFonts w:hint="eastAsia" w:ascii="仿宋_GB2312" w:hAnsi="仿宋_GB2312" w:eastAsia="仿宋_GB2312" w:cs="仿宋_GB2312"/>
          <w:sz w:val="32"/>
          <w:szCs w:val="32"/>
          <w:highlight w:val="none"/>
          <w:u w:val="none"/>
        </w:rPr>
        <w:t>20家增长至3</w:t>
      </w:r>
      <w:r>
        <w:rPr>
          <w:rFonts w:hint="eastAsia" w:ascii="仿宋_GB2312" w:hAnsi="仿宋_GB2312" w:eastAsia="仿宋_GB2312" w:cs="仿宋_GB2312"/>
          <w:sz w:val="32"/>
          <w:szCs w:val="32"/>
          <w:highlight w:val="none"/>
          <w:u w:val="none"/>
          <w:lang w:val="en-US" w:eastAsia="zh-CN"/>
        </w:rPr>
        <w:t>4</w:t>
      </w:r>
      <w:r>
        <w:rPr>
          <w:rFonts w:hint="eastAsia" w:ascii="仿宋_GB2312" w:hAnsi="仿宋_GB2312" w:eastAsia="仿宋_GB2312" w:cs="仿宋_GB2312"/>
          <w:sz w:val="32"/>
          <w:szCs w:val="32"/>
          <w:highlight w:val="none"/>
          <w:u w:val="none"/>
        </w:rPr>
        <w:t>家</w:t>
      </w:r>
      <w:r>
        <w:rPr>
          <w:rFonts w:hint="eastAsia" w:ascii="仿宋_GB2312" w:hAnsi="仿宋_GB2312" w:eastAsia="仿宋_GB2312" w:cs="仿宋_GB2312"/>
          <w:sz w:val="32"/>
          <w:szCs w:val="32"/>
          <w:highlight w:val="none"/>
          <w:u w:val="none"/>
          <w:lang w:eastAsia="zh-CN"/>
        </w:rPr>
        <w:t>。</w:t>
      </w:r>
    </w:p>
    <w:p w14:paraId="5E723175">
      <w:pPr>
        <w:keepNext w:val="0"/>
        <w:keepLines w:val="0"/>
        <w:pageBreakBefore w:val="0"/>
        <w:widowControl w:val="0"/>
        <w:kinsoku/>
        <w:wordWrap/>
        <w:overflowPunct w:val="0"/>
        <w:topLinePunct/>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kern w:val="21"/>
          <w:sz w:val="32"/>
          <w:szCs w:val="32"/>
        </w:rPr>
      </w:pPr>
      <w:r>
        <w:rPr>
          <w:rFonts w:hint="eastAsia" w:ascii="仿宋_GB2312" w:hAnsi="仿宋_GB2312" w:eastAsia="仿宋_GB2312" w:cs="仿宋_GB2312"/>
          <w:b/>
          <w:kern w:val="21"/>
          <w:sz w:val="32"/>
          <w:szCs w:val="32"/>
        </w:rPr>
        <w:t>改革创新成果丰硕。</w:t>
      </w:r>
      <w:r>
        <w:rPr>
          <w:rStyle w:val="44"/>
          <w:rFonts w:hint="default" w:ascii="仿宋_GB2312" w:hAnsi="仿宋_GB2312"/>
          <w:b w:val="0"/>
          <w:bCs w:val="0"/>
          <w:kern w:val="21"/>
        </w:rPr>
        <w:t>中央区域办26项改革授权事项和江苏支持示范区15条政策措施落地。系统推进全域土地综合整治、农村集体经营性建设用地入市、</w:t>
      </w:r>
      <w:r>
        <w:rPr>
          <w:rFonts w:ascii="仿宋_GB2312" w:hAnsi="仿宋_GB2312" w:eastAsia="仿宋_GB2312" w:cs="仿宋_GB2312"/>
          <w:kern w:val="21"/>
          <w:sz w:val="32"/>
          <w:szCs w:val="32"/>
        </w:rPr>
        <w:t>乡镇（街道）履职事项清单</w:t>
      </w:r>
      <w:r>
        <w:rPr>
          <w:rStyle w:val="44"/>
          <w:rFonts w:hint="default" w:ascii="仿宋_GB2312" w:hAnsi="仿宋_GB2312"/>
          <w:b w:val="0"/>
          <w:bCs w:val="0"/>
          <w:kern w:val="21"/>
        </w:rPr>
        <w:t>等多项国家级试点，成立全国首个跨省域高新区，吴江高新区获批省级高新区。</w:t>
      </w:r>
      <w:r>
        <w:rPr>
          <w:rFonts w:hint="eastAsia" w:ascii="仿宋_GB2312" w:hAnsi="仿宋_GB2312" w:eastAsia="仿宋_GB2312" w:cs="仿宋_GB2312"/>
          <w:kern w:val="21"/>
          <w:sz w:val="32"/>
          <w:szCs w:val="32"/>
        </w:rPr>
        <w:t>方厅水院、蓝环工程示范段等先行启动区标志性工程建成投用。</w:t>
      </w:r>
      <w:r>
        <w:rPr>
          <w:rStyle w:val="44"/>
          <w:rFonts w:hint="default" w:ascii="仿宋_GB2312" w:hAnsi="仿宋_GB2312"/>
          <w:b w:val="0"/>
          <w:bCs w:val="0"/>
          <w:kern w:val="21"/>
        </w:rPr>
        <w:t>携手青浦、嘉善推进一体化制度创新，形成“1+1+N+X”国土空间规划体系，推出制度创新成果</w:t>
      </w:r>
      <w:r>
        <w:rPr>
          <w:rStyle w:val="44"/>
          <w:rFonts w:hint="eastAsia" w:ascii="仿宋_GB2312" w:hAnsi="仿宋_GB2312" w:eastAsia="仿宋_GB2312"/>
          <w:b w:val="0"/>
          <w:bCs w:val="0"/>
          <w:kern w:val="21"/>
          <w:highlight w:val="none"/>
          <w:lang w:eastAsia="zh-CN"/>
        </w:rPr>
        <w:t>1</w:t>
      </w:r>
      <w:r>
        <w:rPr>
          <w:rStyle w:val="44"/>
          <w:rFonts w:hint="eastAsia" w:ascii="仿宋_GB2312" w:hAnsi="仿宋_GB2312" w:eastAsia="仿宋_GB2312"/>
          <w:b w:val="0"/>
          <w:bCs w:val="0"/>
          <w:kern w:val="21"/>
          <w:highlight w:val="none"/>
          <w:lang w:val="en-US" w:eastAsia="zh-CN"/>
        </w:rPr>
        <w:t>61</w:t>
      </w:r>
      <w:r>
        <w:rPr>
          <w:rStyle w:val="44"/>
          <w:rFonts w:hint="default" w:ascii="仿宋_GB2312" w:hAnsi="仿宋_GB2312"/>
          <w:b w:val="0"/>
          <w:bCs w:val="0"/>
          <w:kern w:val="21"/>
          <w:highlight w:val="none"/>
        </w:rPr>
        <w:t>项</w:t>
      </w:r>
      <w:r>
        <w:rPr>
          <w:rFonts w:hint="eastAsia" w:ascii="仿宋_GB2312" w:hAnsi="仿宋_GB2312" w:eastAsia="仿宋_GB2312" w:cs="仿宋_GB2312"/>
          <w:kern w:val="21"/>
          <w:sz w:val="32"/>
          <w:szCs w:val="32"/>
        </w:rPr>
        <w:t>，</w:t>
      </w:r>
      <w:r>
        <w:rPr>
          <w:rFonts w:hint="eastAsia" w:ascii="仿宋_GB2312" w:hAnsi="仿宋_GB2312" w:eastAsia="仿宋_GB2312" w:cs="仿宋_GB2312"/>
          <w:sz w:val="32"/>
          <w:szCs w:val="32"/>
        </w:rPr>
        <w:t>协同入选首批国家</w:t>
      </w:r>
      <w:r>
        <w:rPr>
          <w:rFonts w:hint="eastAsia" w:ascii="仿宋_GB2312" w:hAnsi="仿宋_GB2312" w:eastAsia="仿宋_GB2312" w:cs="仿宋_GB2312"/>
          <w:sz w:val="32"/>
          <w:szCs w:val="32"/>
          <w:lang w:val="en-US" w:eastAsia="zh-CN"/>
        </w:rPr>
        <w:t>文化产业和旅游</w:t>
      </w:r>
      <w:r>
        <w:rPr>
          <w:rFonts w:hint="eastAsia" w:ascii="仿宋_GB2312" w:hAnsi="仿宋_GB2312" w:eastAsia="仿宋_GB2312" w:cs="仿宋_GB2312"/>
          <w:sz w:val="32"/>
          <w:szCs w:val="32"/>
        </w:rPr>
        <w:t>产业融合发展示范区建设单位名单</w:t>
      </w:r>
      <w:r>
        <w:rPr>
          <w:rFonts w:hint="eastAsia" w:ascii="仿宋_GB2312" w:hAnsi="仿宋_GB2312" w:eastAsia="仿宋_GB2312" w:cs="仿宋_GB2312"/>
          <w:kern w:val="21"/>
          <w:sz w:val="32"/>
          <w:szCs w:val="32"/>
        </w:rPr>
        <w:t>。工业生态数字管理、创新跨域低空交通模式等案例成为中国改革典型。首张“上海市海外人才居住证”、首笔“长三角绿色生态贷”等成果落地吴江，</w:t>
      </w:r>
      <w:r>
        <w:rPr>
          <w:rFonts w:hint="eastAsia" w:ascii="仿宋_GB2312" w:hAnsi="仿宋_GB2312" w:eastAsia="仿宋_GB2312" w:cs="仿宋_GB2312"/>
          <w:kern w:val="21"/>
          <w:sz w:val="32"/>
          <w:szCs w:val="32"/>
          <w:shd w:val="clear" w:color="auto" w:fill="FFFFFF"/>
          <w:lang w:bidi="ar"/>
        </w:rPr>
        <w:t>示范区人才互认、异地医保刷卡免备案等同城服务推向深入。</w:t>
      </w:r>
    </w:p>
    <w:p w14:paraId="336B0F72">
      <w:pPr>
        <w:keepNext w:val="0"/>
        <w:keepLines w:val="0"/>
        <w:pageBreakBefore w:val="0"/>
        <w:widowControl w:val="0"/>
        <w:kinsoku/>
        <w:wordWrap/>
        <w:overflowPunct w:val="0"/>
        <w:topLinePunct/>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kern w:val="21"/>
          <w:sz w:val="32"/>
          <w:szCs w:val="32"/>
        </w:rPr>
      </w:pPr>
      <w:r>
        <w:rPr>
          <w:rFonts w:hint="eastAsia" w:ascii="仿宋_GB2312" w:hAnsi="仿宋_GB2312" w:eastAsia="仿宋_GB2312" w:cs="仿宋_GB2312"/>
          <w:b/>
          <w:kern w:val="21"/>
          <w:sz w:val="32"/>
          <w:szCs w:val="32"/>
        </w:rPr>
        <w:t>经济质效持续提升。</w:t>
      </w:r>
      <w:r>
        <w:rPr>
          <w:rStyle w:val="44"/>
          <w:rFonts w:hint="default" w:ascii="仿宋_GB2312" w:hAnsi="仿宋_GB2312"/>
          <w:b w:val="0"/>
          <w:bCs w:val="0"/>
          <w:kern w:val="21"/>
        </w:rPr>
        <w:t>新形成新材料、新能源两个千亿级产业。入选省民营经济高质量发展示范区培育对象。</w:t>
      </w:r>
      <w:r>
        <w:rPr>
          <w:rFonts w:hint="eastAsia" w:ascii="仿宋_GB2312" w:hAnsi="仿宋_GB2312" w:eastAsia="仿宋_GB2312" w:cs="仿宋_GB2312"/>
          <w:kern w:val="21"/>
          <w:sz w:val="32"/>
          <w:szCs w:val="32"/>
        </w:rPr>
        <w:t>恒力、盛虹世界500强</w:t>
      </w:r>
      <w:r>
        <w:rPr>
          <w:rFonts w:hint="eastAsia" w:ascii="仿宋_GB2312" w:hAnsi="仿宋_GB2312" w:eastAsia="仿宋_GB2312" w:cs="仿宋_GB2312"/>
          <w:kern w:val="21"/>
          <w:sz w:val="32"/>
          <w:szCs w:val="32"/>
          <w:lang w:val="en-US" w:eastAsia="zh-CN"/>
        </w:rPr>
        <w:t>排名</w:t>
      </w:r>
      <w:r>
        <w:rPr>
          <w:rFonts w:hint="eastAsia" w:ascii="仿宋_GB2312" w:hAnsi="仿宋_GB2312" w:eastAsia="仿宋_GB2312" w:cs="仿宋_GB2312"/>
          <w:kern w:val="21"/>
          <w:sz w:val="32"/>
          <w:szCs w:val="32"/>
        </w:rPr>
        <w:t>进位，亨通、通鼎等4家企业入围中国企业500强，永鼎、东方恒信等6家企业入围中国民营企业500强，</w:t>
      </w:r>
      <w:r>
        <w:rPr>
          <w:rFonts w:hint="eastAsia" w:ascii="仿宋_GB2312" w:hAnsi="仿宋_GB2312" w:eastAsia="仿宋_GB2312" w:cs="仿宋_GB2312"/>
          <w:sz w:val="32"/>
          <w:szCs w:val="32"/>
        </w:rPr>
        <w:t>亨通荣获第五届中国质量奖，</w:t>
      </w:r>
      <w:r>
        <w:rPr>
          <w:rFonts w:hint="eastAsia" w:ascii="仿宋_GB2312" w:hAnsi="仿宋_GB2312" w:eastAsia="仿宋_GB2312" w:cs="仿宋_GB2312"/>
          <w:kern w:val="21"/>
          <w:sz w:val="32"/>
          <w:szCs w:val="32"/>
        </w:rPr>
        <w:t>亨通光纤获评全球灯塔工厂</w:t>
      </w:r>
      <w:r>
        <w:rPr>
          <w:rFonts w:hint="eastAsia" w:ascii="仿宋_GB2312" w:hAnsi="仿宋_GB2312" w:eastAsia="仿宋_GB2312" w:cs="仿宋_GB2312"/>
          <w:kern w:val="21"/>
          <w:sz w:val="32"/>
          <w:szCs w:val="32"/>
          <w:lang w:eastAsia="zh-CN"/>
        </w:rPr>
        <w:t>。</w:t>
      </w:r>
      <w:r>
        <w:rPr>
          <w:rFonts w:hint="eastAsia" w:ascii="仿宋_GB2312" w:hAnsi="仿宋_GB2312" w:eastAsia="仿宋_GB2312" w:cs="仿宋_GB2312"/>
          <w:kern w:val="21"/>
          <w:sz w:val="32"/>
          <w:szCs w:val="32"/>
          <w:lang w:val="en-US" w:eastAsia="zh-CN"/>
        </w:rPr>
        <w:t>英诺赛科</w:t>
      </w:r>
      <w:r>
        <w:rPr>
          <w:rFonts w:hint="eastAsia" w:ascii="仿宋_GB2312" w:hAnsi="仿宋_GB2312" w:eastAsia="仿宋_GB2312" w:cs="仿宋_GB2312"/>
          <w:sz w:val="32"/>
          <w:szCs w:val="32"/>
          <w:lang w:val="en-US" w:eastAsia="zh-CN"/>
        </w:rPr>
        <w:t>建成全球首条8英寸硅基氮化镓量产线。博众仪器</w:t>
      </w:r>
      <w:r>
        <w:rPr>
          <w:rFonts w:hint="eastAsia" w:ascii="仿宋_GB2312" w:hAnsi="仿宋_GB2312" w:eastAsia="仿宋_GB2312" w:cs="仿宋_GB2312"/>
          <w:snapToGrid w:val="0"/>
          <w:kern w:val="0"/>
          <w:sz w:val="32"/>
          <w:szCs w:val="32"/>
          <w:highlight w:val="none"/>
          <w:lang w:val="en-US" w:eastAsia="zh-CN"/>
        </w:rPr>
        <w:t>“首台国产商用200kV透射电镜”入选国家“十四五”硬核科技成果。</w:t>
      </w:r>
      <w:r>
        <w:rPr>
          <w:rFonts w:hint="eastAsia" w:ascii="仿宋_GB2312" w:hAnsi="仿宋_GB2312" w:eastAsia="仿宋_GB2312" w:cs="仿宋_GB2312"/>
          <w:kern w:val="21"/>
          <w:sz w:val="32"/>
          <w:szCs w:val="32"/>
        </w:rPr>
        <w:t>光纤光缆、仿真纤维材料获批国家级中小企业特色产业集群，高端纺织入选国家先进制造业集群。</w:t>
      </w:r>
      <w:r>
        <w:rPr>
          <w:rStyle w:val="44"/>
          <w:rFonts w:hint="default" w:ascii="仿宋_GB2312" w:hAnsi="仿宋_GB2312"/>
          <w:b w:val="0"/>
          <w:bCs w:val="0"/>
        </w:rPr>
        <w:t>亨通数科成功创建国家级工业互联网“双跨”平台</w:t>
      </w:r>
      <w:r>
        <w:rPr>
          <w:rStyle w:val="44"/>
          <w:rFonts w:ascii="仿宋_GB2312" w:hAnsi="仿宋_GB2312"/>
          <w:b w:val="0"/>
          <w:bCs w:val="0"/>
        </w:rPr>
        <w:t>。</w:t>
      </w:r>
      <w:r>
        <w:rPr>
          <w:rFonts w:hint="eastAsia" w:ascii="仿宋_GB2312" w:hAnsi="仿宋_GB2312" w:eastAsia="仿宋_GB2312" w:cs="仿宋_GB2312"/>
          <w:sz w:val="32"/>
          <w:szCs w:val="32"/>
        </w:rPr>
        <w:t>国家先进功能纤维创新中心、中国工业互联网研究院江苏分院等高能级平台</w:t>
      </w:r>
      <w:r>
        <w:rPr>
          <w:rFonts w:hint="eastAsia" w:ascii="仿宋_GB2312" w:hAnsi="仿宋_GB2312" w:eastAsia="仿宋_GB2312" w:cs="仿宋_GB2312"/>
          <w:sz w:val="32"/>
          <w:szCs w:val="32"/>
          <w:lang w:val="en-US" w:eastAsia="zh-CN"/>
        </w:rPr>
        <w:t>建成</w:t>
      </w:r>
      <w:r>
        <w:rPr>
          <w:rFonts w:hint="eastAsia" w:ascii="仿宋_GB2312" w:hAnsi="仿宋_GB2312" w:eastAsia="仿宋_GB2312" w:cs="仿宋_GB2312"/>
          <w:sz w:val="32"/>
          <w:szCs w:val="32"/>
        </w:rPr>
        <w:t>运营。国家制造业单项冠军、</w:t>
      </w:r>
      <w:r>
        <w:rPr>
          <w:rFonts w:hint="eastAsia" w:ascii="仿宋_GB2312" w:hAnsi="仿宋_GB2312" w:eastAsia="仿宋_GB2312" w:cs="仿宋_GB2312"/>
          <w:kern w:val="21"/>
          <w:sz w:val="32"/>
          <w:szCs w:val="32"/>
        </w:rPr>
        <w:t>国家级企业技术中心数量列全市第一，智改数转实现规上企业全覆盖，</w:t>
      </w:r>
      <w:r>
        <w:rPr>
          <w:rFonts w:hint="eastAsia" w:ascii="仿宋_GB2312" w:hAnsi="仿宋_GB2312" w:eastAsia="仿宋_GB2312" w:cs="仿宋_GB2312"/>
          <w:kern w:val="21"/>
          <w:sz w:val="32"/>
          <w:szCs w:val="32"/>
          <w:u w:val="none"/>
        </w:rPr>
        <w:t>万人有效发明专利</w:t>
      </w:r>
      <w:r>
        <w:rPr>
          <w:rFonts w:hint="eastAsia" w:ascii="仿宋_GB2312" w:hAnsi="仿宋_GB2312" w:eastAsia="仿宋_GB2312" w:cs="仿宋_GB2312"/>
          <w:kern w:val="21"/>
          <w:sz w:val="32"/>
          <w:szCs w:val="32"/>
          <w:u w:val="none"/>
          <w:lang w:eastAsia="zh-CN"/>
        </w:rPr>
        <w:t>由</w:t>
      </w:r>
      <w:r>
        <w:rPr>
          <w:rFonts w:hint="eastAsia" w:ascii="仿宋_GB2312" w:hAnsi="仿宋_GB2312" w:eastAsia="仿宋_GB2312" w:cs="仿宋_GB2312"/>
          <w:spacing w:val="-4"/>
          <w:sz w:val="32"/>
          <w:szCs w:val="32"/>
          <w:lang w:val="en-US" w:eastAsia="zh-CN"/>
        </w:rPr>
        <w:t>60.56</w:t>
      </w:r>
      <w:r>
        <w:rPr>
          <w:rFonts w:hint="eastAsia" w:ascii="仿宋_GB2312" w:hAnsi="仿宋_GB2312" w:eastAsia="仿宋_GB2312" w:cs="仿宋_GB2312"/>
          <w:kern w:val="21"/>
          <w:sz w:val="32"/>
          <w:szCs w:val="32"/>
          <w:u w:val="none"/>
          <w:lang w:val="en-US" w:eastAsia="zh-CN"/>
        </w:rPr>
        <w:t>件增长至104.51</w:t>
      </w:r>
      <w:r>
        <w:rPr>
          <w:rFonts w:hint="eastAsia" w:ascii="仿宋_GB2312" w:hAnsi="仿宋_GB2312" w:eastAsia="仿宋_GB2312" w:cs="仿宋_GB2312"/>
          <w:kern w:val="21"/>
          <w:sz w:val="32"/>
          <w:szCs w:val="32"/>
          <w:u w:val="none"/>
        </w:rPr>
        <w:t>件。</w:t>
      </w:r>
      <w:r>
        <w:rPr>
          <w:rFonts w:hint="eastAsia" w:ascii="仿宋_GB2312" w:hAnsi="仿宋_GB2312" w:eastAsia="仿宋_GB2312" w:cs="仿宋_GB2312"/>
          <w:snapToGrid w:val="0"/>
          <w:sz w:val="32"/>
          <w:szCs w:val="32"/>
          <w:u w:val="none"/>
          <w:shd w:val="clear" w:color="auto" w:fill="FFFFFF"/>
        </w:rPr>
        <w:t>吴江开发区在国家级经济技术开发区综合考评中</w:t>
      </w:r>
      <w:r>
        <w:rPr>
          <w:rFonts w:hint="eastAsia" w:ascii="仿宋_GB2312" w:hAnsi="仿宋_GB2312" w:eastAsia="仿宋_GB2312" w:cs="仿宋_GB2312"/>
          <w:snapToGrid w:val="0"/>
          <w:sz w:val="32"/>
          <w:szCs w:val="32"/>
          <w:u w:val="none"/>
          <w:shd w:val="clear" w:color="auto" w:fill="FFFFFF"/>
          <w:lang w:val="en-US" w:eastAsia="zh-CN"/>
        </w:rPr>
        <w:t>跃升</w:t>
      </w:r>
      <w:r>
        <w:rPr>
          <w:rFonts w:hint="eastAsia" w:ascii="仿宋_GB2312" w:hAnsi="仿宋_GB2312" w:eastAsia="仿宋_GB2312" w:cs="仿宋_GB2312"/>
          <w:snapToGrid w:val="0"/>
          <w:sz w:val="32"/>
          <w:szCs w:val="32"/>
          <w:u w:val="none"/>
          <w:shd w:val="clear" w:color="auto" w:fill="FFFFFF"/>
        </w:rPr>
        <w:t>至第19位</w:t>
      </w:r>
      <w:r>
        <w:rPr>
          <w:rFonts w:hint="eastAsia" w:ascii="仿宋_GB2312" w:hAnsi="仿宋_GB2312" w:eastAsia="仿宋_GB2312" w:cs="仿宋_GB2312"/>
          <w:snapToGrid w:val="0"/>
          <w:sz w:val="32"/>
          <w:szCs w:val="32"/>
          <w:shd w:val="clear" w:color="auto" w:fill="FFFFFF"/>
        </w:rPr>
        <w:t>。</w:t>
      </w:r>
    </w:p>
    <w:p w14:paraId="78F8D276">
      <w:pPr>
        <w:keepNext w:val="0"/>
        <w:keepLines w:val="0"/>
        <w:pageBreakBefore w:val="0"/>
        <w:widowControl w:val="0"/>
        <w:kinsoku/>
        <w:wordWrap/>
        <w:overflowPunct w:val="0"/>
        <w:topLinePunct/>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kern w:val="21"/>
          <w:sz w:val="32"/>
          <w:szCs w:val="32"/>
          <w:shd w:val="clear" w:color="auto" w:fill="FFFFFF"/>
          <w:lang w:bidi="ar"/>
        </w:rPr>
      </w:pPr>
      <w:r>
        <w:rPr>
          <w:rFonts w:hint="eastAsia" w:ascii="仿宋_GB2312" w:hAnsi="仿宋_GB2312" w:eastAsia="仿宋_GB2312" w:cs="仿宋_GB2312"/>
          <w:b/>
          <w:kern w:val="21"/>
          <w:sz w:val="32"/>
          <w:szCs w:val="32"/>
        </w:rPr>
        <w:t>民生福祉不断增进。</w:t>
      </w:r>
      <w:r>
        <w:rPr>
          <w:rFonts w:hint="eastAsia" w:ascii="仿宋_GB2312" w:hAnsi="仿宋_GB2312" w:eastAsia="仿宋_GB2312" w:cs="仿宋_GB2312"/>
          <w:bCs/>
          <w:kern w:val="21"/>
          <w:sz w:val="32"/>
          <w:szCs w:val="32"/>
        </w:rPr>
        <w:t>粮食播种面积稳定在35万亩以上，获评国家农产品质量安全县。就业形势总体稳定。</w:t>
      </w:r>
      <w:r>
        <w:rPr>
          <w:rFonts w:hint="eastAsia" w:ascii="仿宋_GB2312" w:hAnsi="仿宋_GB2312" w:eastAsia="仿宋_GB2312" w:cs="仿宋_GB2312"/>
          <w:kern w:val="21"/>
          <w:sz w:val="32"/>
          <w:szCs w:val="32"/>
        </w:rPr>
        <w:t>居民养老保险基础养老金标准提升至705元/月，被征地农民养老补助金提升至1142元/月。入选全国义务教育教学改革实验区，苏州大学未来校区一期投用，示范区教师发展学院落地，实现示范区职业教育跨区域招生和中高职贯通培养。京东方医院、区中医医院新院区投入运营并获评三级医院，深化与中山大学附属第一医院、苏州大学附属儿童医院等名医名院的合作。获评国家智慧健康养老应用试点示范基地。实现普惠托育机构</w:t>
      </w:r>
      <w:r>
        <w:rPr>
          <w:rFonts w:hint="eastAsia" w:ascii="仿宋_GB2312" w:hAnsi="仿宋_GB2312" w:eastAsia="仿宋_GB2312" w:cs="仿宋_GB2312"/>
          <w:kern w:val="21"/>
          <w:sz w:val="32"/>
          <w:szCs w:val="32"/>
          <w:lang w:val="en-US" w:eastAsia="zh-CN"/>
        </w:rPr>
        <w:t>区镇</w:t>
      </w:r>
      <w:r>
        <w:rPr>
          <w:rFonts w:hint="eastAsia" w:ascii="仿宋_GB2312" w:hAnsi="仿宋_GB2312" w:eastAsia="仿宋_GB2312" w:cs="仿宋_GB2312"/>
          <w:kern w:val="21"/>
          <w:sz w:val="32"/>
          <w:szCs w:val="32"/>
        </w:rPr>
        <w:t>全覆盖，每千人口婴幼儿托位数达4.6个。新增技能人才8.</w:t>
      </w:r>
      <w:r>
        <w:rPr>
          <w:rFonts w:hint="eastAsia" w:ascii="仿宋_GB2312" w:hAnsi="仿宋_GB2312" w:eastAsia="仿宋_GB2312" w:cs="仿宋_GB2312"/>
          <w:kern w:val="21"/>
          <w:sz w:val="32"/>
          <w:szCs w:val="32"/>
          <w:lang w:val="en-US" w:eastAsia="zh-CN"/>
        </w:rPr>
        <w:t>7</w:t>
      </w:r>
      <w:r>
        <w:rPr>
          <w:rFonts w:hint="eastAsia" w:ascii="仿宋_GB2312" w:hAnsi="仿宋_GB2312" w:eastAsia="仿宋_GB2312" w:cs="仿宋_GB2312"/>
          <w:kern w:val="21"/>
          <w:sz w:val="32"/>
          <w:szCs w:val="32"/>
        </w:rPr>
        <w:t>万人，省级以上博士后科研工作站（创新实践基地）数达74家</w:t>
      </w:r>
      <w:r>
        <w:rPr>
          <w:rFonts w:hint="eastAsia" w:ascii="仿宋_GB2312" w:hAnsi="仿宋_GB2312" w:eastAsia="仿宋_GB2312" w:cs="仿宋_GB2312"/>
          <w:kern w:val="21"/>
          <w:sz w:val="32"/>
          <w:szCs w:val="32"/>
          <w:lang w:eastAsia="zh-CN"/>
        </w:rPr>
        <w:t>，</w:t>
      </w:r>
      <w:r>
        <w:rPr>
          <w:rFonts w:hint="eastAsia" w:ascii="仿宋_GB2312" w:hAnsi="仿宋_GB2312" w:eastAsia="仿宋_GB2312" w:cs="仿宋_GB2312"/>
          <w:sz w:val="32"/>
          <w:szCs w:val="32"/>
        </w:rPr>
        <w:t>全省首个工业互联网专</w:t>
      </w:r>
      <w:r>
        <w:rPr>
          <w:rFonts w:hint="eastAsia" w:ascii="仿宋_GB2312" w:hAnsi="仿宋_GB2312" w:eastAsia="仿宋_GB2312" w:cs="仿宋_GB2312"/>
          <w:spacing w:val="-6"/>
          <w:sz w:val="32"/>
          <w:szCs w:val="32"/>
        </w:rPr>
        <w:t>业职称评审基地落地吴江。</w:t>
      </w:r>
      <w:r>
        <w:rPr>
          <w:rFonts w:hint="eastAsia" w:ascii="仿宋_GB2312" w:hAnsi="仿宋_GB2312" w:eastAsia="仿宋_GB2312" w:cs="仿宋_GB2312"/>
          <w:spacing w:val="-6"/>
          <w:kern w:val="21"/>
          <w:sz w:val="32"/>
          <w:szCs w:val="32"/>
          <w:shd w:val="clear" w:color="auto" w:fill="FFFFFF"/>
          <w:lang w:bidi="ar"/>
        </w:rPr>
        <w:t>省双拥模范城（区）创建实现“七连冠”。</w:t>
      </w:r>
    </w:p>
    <w:p w14:paraId="00EC6DB4">
      <w:pPr>
        <w:keepNext w:val="0"/>
        <w:keepLines w:val="0"/>
        <w:pageBreakBefore w:val="0"/>
        <w:widowControl w:val="0"/>
        <w:kinsoku/>
        <w:wordWrap/>
        <w:overflowPunct w:val="0"/>
        <w:topLinePunct/>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kern w:val="21"/>
          <w:sz w:val="32"/>
          <w:szCs w:val="32"/>
        </w:rPr>
        <w:t>城市品质不断提高。</w:t>
      </w:r>
      <w:r>
        <w:rPr>
          <w:rFonts w:hint="eastAsia" w:ascii="仿宋_GB2312" w:hAnsi="仿宋_GB2312" w:eastAsia="仿宋_GB2312" w:cs="仿宋_GB2312"/>
          <w:kern w:val="21"/>
          <w:sz w:val="32"/>
          <w:szCs w:val="32"/>
        </w:rPr>
        <w:t>沪苏湖高铁通车，苏州南站、盛泽站投用，通苏嘉甬高铁、水乡旅游线城际铁路开工建设，“轨道上的示范区”加速呈现。江陵路快速路建成投用，苏台高速吴江至浙江段建成通车。苏州内河港吴江盛泽码头投用。</w:t>
      </w:r>
      <w:r>
        <w:rPr>
          <w:rFonts w:hint="eastAsia" w:ascii="仿宋_GB2312" w:hAnsi="仿宋_GB2312" w:eastAsia="仿宋_GB2312" w:cs="仿宋_GB2312"/>
          <w:sz w:val="32"/>
          <w:szCs w:val="32"/>
        </w:rPr>
        <w:t>幸福河湖</w:t>
      </w:r>
      <w:r>
        <w:rPr>
          <w:rFonts w:hint="eastAsia" w:ascii="仿宋_GB2312" w:hAnsi="仿宋_GB2312" w:eastAsia="仿宋_GB2312" w:cs="仿宋_GB2312"/>
          <w:sz w:val="32"/>
          <w:szCs w:val="32"/>
          <w:lang w:eastAsia="zh-CN"/>
        </w:rPr>
        <w:t>由</w:t>
      </w:r>
      <w:r>
        <w:rPr>
          <w:rFonts w:hint="eastAsia" w:ascii="仿宋_GB2312" w:hAnsi="仿宋_GB2312" w:eastAsia="仿宋_GB2312" w:cs="仿宋_GB2312"/>
          <w:sz w:val="32"/>
          <w:szCs w:val="32"/>
        </w:rPr>
        <w:t>40条增长至385条。</w:t>
      </w:r>
      <w:r>
        <w:rPr>
          <w:rFonts w:hint="eastAsia" w:ascii="仿宋_GB2312" w:hAnsi="仿宋_GB2312" w:eastAsia="仿宋_GB2312" w:cs="仿宋_GB2312"/>
          <w:kern w:val="21"/>
          <w:sz w:val="32"/>
          <w:szCs w:val="32"/>
        </w:rPr>
        <w:t>入选省未来产业先行集聚发展低空经济先行试点，吴江</w:t>
      </w:r>
      <w:r>
        <w:rPr>
          <w:rFonts w:hint="eastAsia" w:ascii="仿宋_GB2312" w:hAnsi="仿宋_GB2312" w:eastAsia="仿宋_GB2312" w:cs="仿宋_GB2312"/>
          <w:kern w:val="21"/>
          <w:sz w:val="32"/>
          <w:szCs w:val="32"/>
          <w:lang w:eastAsia="zh-CN"/>
        </w:rPr>
        <w:t>－</w:t>
      </w:r>
      <w:r>
        <w:rPr>
          <w:rFonts w:hint="eastAsia" w:ascii="仿宋_GB2312" w:hAnsi="仿宋_GB2312" w:eastAsia="仿宋_GB2312" w:cs="仿宋_GB2312"/>
          <w:kern w:val="21"/>
          <w:sz w:val="32"/>
          <w:szCs w:val="32"/>
        </w:rPr>
        <w:t>浦东、虹桥机场等低空航线顺利开通。</w:t>
      </w:r>
      <w:r>
        <w:rPr>
          <w:rFonts w:hint="eastAsia" w:ascii="仿宋_GB2312" w:hAnsi="仿宋_GB2312" w:eastAsia="仿宋_GB2312" w:cs="仿宋_GB2312"/>
          <w:snapToGrid w:val="0"/>
          <w:kern w:val="21"/>
          <w:sz w:val="32"/>
          <w:szCs w:val="32"/>
        </w:rPr>
        <w:t>“东数西算”长三角算力调度中心启用</w:t>
      </w:r>
      <w:r>
        <w:rPr>
          <w:rFonts w:hint="eastAsia" w:ascii="仿宋_GB2312" w:hAnsi="仿宋_GB2312" w:eastAsia="仿宋_GB2312" w:cs="仿宋_GB2312"/>
          <w:kern w:val="21"/>
          <w:sz w:val="32"/>
          <w:szCs w:val="32"/>
        </w:rPr>
        <w:t>，中国移动长三角（苏州）汾湖智算中心开工建设。</w:t>
      </w:r>
      <w:r>
        <w:rPr>
          <w:rFonts w:hint="eastAsia" w:ascii="仿宋_GB2312" w:hAnsi="仿宋_GB2312" w:eastAsia="仿宋_GB2312" w:cs="仿宋_GB2312"/>
          <w:kern w:val="21"/>
          <w:sz w:val="32"/>
          <w:szCs w:val="32"/>
          <w:highlight w:val="none"/>
        </w:rPr>
        <w:t>大力推进屋顶分布式光伏开发建设</w:t>
      </w:r>
      <w:r>
        <w:rPr>
          <w:rFonts w:hint="eastAsia" w:ascii="仿宋_GB2312" w:hAnsi="仿宋_GB2312" w:eastAsia="仿宋_GB2312" w:cs="仿宋_GB2312"/>
          <w:kern w:val="21"/>
          <w:sz w:val="32"/>
          <w:szCs w:val="32"/>
        </w:rPr>
        <w:t>，光伏装机容量达12</w:t>
      </w:r>
      <w:r>
        <w:rPr>
          <w:rFonts w:hint="eastAsia" w:ascii="仿宋_GB2312" w:hAnsi="仿宋_GB2312" w:eastAsia="仿宋_GB2312" w:cs="仿宋_GB2312"/>
          <w:kern w:val="21"/>
          <w:sz w:val="32"/>
          <w:szCs w:val="32"/>
          <w:lang w:val="en-US" w:eastAsia="zh-CN"/>
        </w:rPr>
        <w:t>78.67</w:t>
      </w:r>
      <w:r>
        <w:rPr>
          <w:rFonts w:hint="eastAsia" w:ascii="仿宋_GB2312" w:hAnsi="仿宋_GB2312" w:eastAsia="仿宋_GB2312" w:cs="仿宋_GB2312"/>
          <w:kern w:val="21"/>
          <w:sz w:val="32"/>
          <w:szCs w:val="32"/>
        </w:rPr>
        <w:t>兆瓦。完成125个城镇老旧小区改造，新建改造口袋公园76个，</w:t>
      </w:r>
      <w:r>
        <w:rPr>
          <w:rFonts w:hint="eastAsia" w:ascii="仿宋_GB2312" w:hAnsi="仿宋_GB2312" w:eastAsia="仿宋_GB2312" w:cs="仿宋_GB2312"/>
          <w:sz w:val="32"/>
          <w:szCs w:val="32"/>
        </w:rPr>
        <w:t>城区人均公园绿地面积</w:t>
      </w:r>
      <w:r>
        <w:rPr>
          <w:rFonts w:hint="eastAsia" w:ascii="仿宋_GB2312" w:hAnsi="仿宋_GB2312" w:eastAsia="仿宋_GB2312" w:cs="仿宋_GB2312"/>
          <w:sz w:val="32"/>
          <w:szCs w:val="32"/>
          <w:lang w:eastAsia="zh-CN"/>
        </w:rPr>
        <w:t>由</w:t>
      </w:r>
      <w:r>
        <w:rPr>
          <w:rFonts w:hint="eastAsia" w:ascii="仿宋_GB2312" w:hAnsi="仿宋_GB2312" w:eastAsia="仿宋_GB2312" w:cs="仿宋_GB2312"/>
          <w:sz w:val="32"/>
          <w:szCs w:val="32"/>
        </w:rPr>
        <w:t>12.16平方米/人</w:t>
      </w:r>
      <w:r>
        <w:rPr>
          <w:rFonts w:hint="eastAsia" w:ascii="仿宋_GB2312" w:hAnsi="仿宋_GB2312" w:eastAsia="仿宋_GB2312" w:cs="仿宋_GB2312"/>
          <w:sz w:val="32"/>
          <w:szCs w:val="32"/>
          <w:lang w:eastAsia="zh-CN"/>
        </w:rPr>
        <w:t>增长</w:t>
      </w:r>
      <w:r>
        <w:rPr>
          <w:rFonts w:hint="eastAsia" w:ascii="仿宋_GB2312" w:hAnsi="仿宋_GB2312" w:eastAsia="仿宋_GB2312" w:cs="仿宋_GB2312"/>
          <w:sz w:val="32"/>
          <w:szCs w:val="32"/>
        </w:rPr>
        <w:t>至15.16平方米/人，建成区绿地率</w:t>
      </w:r>
      <w:r>
        <w:rPr>
          <w:rFonts w:hint="eastAsia" w:ascii="仿宋_GB2312" w:hAnsi="仿宋_GB2312" w:eastAsia="仿宋_GB2312" w:cs="仿宋_GB2312"/>
          <w:sz w:val="32"/>
          <w:szCs w:val="32"/>
          <w:lang w:eastAsia="zh-CN"/>
        </w:rPr>
        <w:t>由</w:t>
      </w:r>
      <w:r>
        <w:rPr>
          <w:rFonts w:hint="eastAsia" w:ascii="仿宋_GB2312" w:hAnsi="仿宋_GB2312" w:eastAsia="仿宋_GB2312" w:cs="仿宋_GB2312"/>
          <w:sz w:val="32"/>
          <w:szCs w:val="32"/>
        </w:rPr>
        <w:t>38.08%</w:t>
      </w:r>
      <w:r>
        <w:rPr>
          <w:rFonts w:hint="eastAsia" w:ascii="仿宋_GB2312" w:hAnsi="仿宋_GB2312" w:eastAsia="仿宋_GB2312" w:cs="仿宋_GB2312"/>
          <w:sz w:val="32"/>
          <w:szCs w:val="32"/>
          <w:lang w:eastAsia="zh-CN"/>
        </w:rPr>
        <w:t>增长</w:t>
      </w:r>
      <w:r>
        <w:rPr>
          <w:rFonts w:hint="eastAsia" w:ascii="仿宋_GB2312" w:hAnsi="仿宋_GB2312" w:eastAsia="仿宋_GB2312" w:cs="仿宋_GB2312"/>
          <w:sz w:val="32"/>
          <w:szCs w:val="32"/>
        </w:rPr>
        <w:t>至39.27%。</w:t>
      </w:r>
    </w:p>
    <w:p w14:paraId="2F5A00CD">
      <w:pPr>
        <w:keepNext w:val="0"/>
        <w:keepLines w:val="0"/>
        <w:pageBreakBefore w:val="0"/>
        <w:widowControl w:val="0"/>
        <w:kinsoku/>
        <w:wordWrap/>
        <w:overflowPunct w:val="0"/>
        <w:topLinePunct/>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kern w:val="21"/>
          <w:sz w:val="32"/>
          <w:szCs w:val="32"/>
        </w:rPr>
      </w:pPr>
      <w:r>
        <w:rPr>
          <w:rFonts w:hint="eastAsia" w:ascii="仿宋_GB2312" w:hAnsi="仿宋_GB2312" w:eastAsia="仿宋_GB2312" w:cs="仿宋_GB2312"/>
          <w:b/>
          <w:kern w:val="21"/>
          <w:sz w:val="32"/>
          <w:szCs w:val="32"/>
        </w:rPr>
        <w:t>社会治理精准高效。</w:t>
      </w:r>
      <w:r>
        <w:rPr>
          <w:rFonts w:hint="eastAsia" w:ascii="仿宋_GB2312" w:hAnsi="仿宋_GB2312" w:eastAsia="仿宋_GB2312" w:cs="仿宋_GB2312"/>
          <w:kern w:val="21"/>
          <w:sz w:val="32"/>
          <w:szCs w:val="32"/>
        </w:rPr>
        <w:t>深化“平安吴江”建设，恶性刑事案件同比下降50%。</w:t>
      </w:r>
      <w:r>
        <w:rPr>
          <w:rFonts w:ascii="仿宋_GB2312" w:hAnsi="仿宋_GB2312" w:eastAsia="仿宋_GB2312" w:cs="仿宋_GB2312"/>
          <w:sz w:val="32"/>
          <w:szCs w:val="32"/>
        </w:rPr>
        <w:t>积案化解率稳步提升</w:t>
      </w:r>
      <w:r>
        <w:rPr>
          <w:rFonts w:hint="eastAsia" w:ascii="仿宋_GB2312" w:hAnsi="仿宋_GB2312" w:eastAsia="仿宋_GB2312" w:cs="仿宋_GB2312"/>
          <w:sz w:val="32"/>
          <w:szCs w:val="32"/>
        </w:rPr>
        <w:t>。</w:t>
      </w:r>
      <w:r>
        <w:rPr>
          <w:rFonts w:hint="eastAsia" w:ascii="仿宋_GB2312" w:hAnsi="仿宋_GB2312" w:eastAsia="仿宋_GB2312" w:cs="仿宋_GB2312"/>
          <w:kern w:val="21"/>
          <w:sz w:val="32"/>
          <w:szCs w:val="32"/>
        </w:rPr>
        <w:t>“一站式”分级解纷工作法入选全国“枫桥式工作法”，率先在省内实现区镇村三级</w:t>
      </w:r>
      <w:r>
        <w:rPr>
          <w:rFonts w:hint="eastAsia" w:ascii="仿宋_GB2312" w:hAnsi="仿宋_GB2312" w:eastAsia="仿宋_GB2312" w:cs="仿宋_GB2312"/>
          <w:kern w:val="21"/>
          <w:sz w:val="32"/>
          <w:szCs w:val="32"/>
          <w:lang w:val="en-US" w:eastAsia="zh-CN"/>
        </w:rPr>
        <w:t>综治</w:t>
      </w:r>
      <w:r>
        <w:rPr>
          <w:rFonts w:hint="eastAsia" w:ascii="仿宋_GB2312" w:hAnsi="仿宋_GB2312" w:eastAsia="仿宋_GB2312" w:cs="仿宋_GB2312"/>
          <w:kern w:val="21"/>
          <w:sz w:val="32"/>
          <w:szCs w:val="32"/>
        </w:rPr>
        <w:t>中心全覆盖。平望镇、震泽镇众安桥村获评全国乡村治理示范镇、村。</w:t>
      </w:r>
      <w:r>
        <w:rPr>
          <w:rFonts w:ascii="仿宋_GB2312" w:hAnsi="仿宋_GB2312" w:eastAsia="仿宋_GB2312" w:cs="仿宋_GB2312"/>
          <w:kern w:val="21"/>
          <w:sz w:val="32"/>
          <w:szCs w:val="32"/>
        </w:rPr>
        <w:t>安全生产</w:t>
      </w:r>
      <w:r>
        <w:rPr>
          <w:rFonts w:hint="eastAsia" w:ascii="仿宋_GB2312" w:hAnsi="仿宋_GB2312" w:eastAsia="仿宋_GB2312" w:cs="仿宋_GB2312"/>
          <w:kern w:val="21"/>
          <w:sz w:val="32"/>
          <w:szCs w:val="32"/>
        </w:rPr>
        <w:t>形势</w:t>
      </w:r>
      <w:r>
        <w:rPr>
          <w:rFonts w:hint="eastAsia" w:ascii="仿宋_GB2312" w:hAnsi="仿宋_GB2312" w:eastAsia="仿宋_GB2312" w:cs="仿宋_GB2312"/>
          <w:kern w:val="21"/>
          <w:sz w:val="32"/>
          <w:szCs w:val="32"/>
          <w:lang w:val="en-US" w:eastAsia="zh-CN"/>
        </w:rPr>
        <w:t>稳定</w:t>
      </w:r>
      <w:r>
        <w:rPr>
          <w:rFonts w:hint="eastAsia" w:ascii="仿宋_GB2312" w:hAnsi="仿宋_GB2312" w:eastAsia="仿宋_GB2312" w:cs="仿宋_GB2312"/>
          <w:kern w:val="21"/>
          <w:sz w:val="32"/>
          <w:szCs w:val="32"/>
        </w:rPr>
        <w:t>向好，</w:t>
      </w:r>
      <w:r>
        <w:rPr>
          <w:rFonts w:ascii="仿宋_GB2312" w:hAnsi="仿宋_GB2312" w:eastAsia="仿宋_GB2312" w:cs="仿宋_GB2312"/>
          <w:kern w:val="21"/>
          <w:sz w:val="32"/>
          <w:szCs w:val="32"/>
        </w:rPr>
        <w:t>事故起数</w:t>
      </w:r>
      <w:r>
        <w:rPr>
          <w:rFonts w:hint="eastAsia" w:ascii="仿宋_GB2312" w:hAnsi="仿宋_GB2312" w:eastAsia="仿宋_GB2312" w:cs="仿宋_GB2312"/>
          <w:kern w:val="21"/>
          <w:sz w:val="32"/>
          <w:szCs w:val="32"/>
        </w:rPr>
        <w:t>、死亡</w:t>
      </w:r>
      <w:r>
        <w:rPr>
          <w:rFonts w:ascii="仿宋_GB2312" w:hAnsi="仿宋_GB2312" w:eastAsia="仿宋_GB2312" w:cs="仿宋_GB2312"/>
          <w:snapToGrid w:val="0"/>
          <w:kern w:val="21"/>
          <w:sz w:val="32"/>
          <w:szCs w:val="32"/>
          <w:shd w:val="clear" w:color="auto" w:fill="FFFFFF"/>
        </w:rPr>
        <w:t>人数呈下降趋势</w:t>
      </w:r>
      <w:r>
        <w:rPr>
          <w:rFonts w:hint="eastAsia" w:ascii="仿宋_GB2312" w:hAnsi="仿宋_GB2312" w:eastAsia="仿宋_GB2312" w:cs="仿宋_GB2312"/>
          <w:snapToGrid w:val="0"/>
          <w:kern w:val="21"/>
          <w:sz w:val="32"/>
          <w:szCs w:val="32"/>
          <w:shd w:val="clear" w:color="auto" w:fill="FFFFFF"/>
        </w:rPr>
        <w:t>。</w:t>
      </w:r>
      <w:r>
        <w:rPr>
          <w:rFonts w:hint="eastAsia" w:ascii="仿宋_GB2312" w:hAnsi="仿宋_GB2312" w:eastAsia="仿宋_GB2312" w:cs="仿宋_GB2312"/>
          <w:kern w:val="21"/>
          <w:sz w:val="32"/>
          <w:szCs w:val="32"/>
        </w:rPr>
        <w:t>首创“跨域通办·云综窗”、示范区“1+N”证照联办通取模式。打造“免证办”“智能办”应用场景，发布621项“免证办”事项清单。政务服务可网办率达98%。“拿地即开工”模式常态化运行。营商环境在全省保持领先</w:t>
      </w:r>
      <w:r>
        <w:rPr>
          <w:rFonts w:hint="eastAsia" w:ascii="仿宋_GB2312" w:hAnsi="仿宋_GB2312" w:eastAsia="仿宋_GB2312" w:cs="仿宋_GB2312"/>
          <w:kern w:val="21"/>
          <w:sz w:val="32"/>
          <w:szCs w:val="32"/>
          <w:lang w:eastAsia="zh-CN"/>
        </w:rPr>
        <w:t>。</w:t>
      </w:r>
      <w:r>
        <w:rPr>
          <w:rFonts w:hint="eastAsia" w:ascii="仿宋_GB2312" w:hAnsi="仿宋_GB2312" w:eastAsia="仿宋_GB2312" w:cs="仿宋_GB2312"/>
          <w:kern w:val="21"/>
          <w:sz w:val="32"/>
          <w:szCs w:val="32"/>
        </w:rPr>
        <w:t>获评省金融生态优秀县。推出“</w:t>
      </w:r>
      <w:r>
        <w:rPr>
          <w:rFonts w:hint="eastAsia" w:ascii="仿宋_GB2312" w:hAnsi="仿宋_GB2312" w:eastAsia="仿宋_GB2312" w:cs="仿宋_GB2312"/>
          <w:kern w:val="21"/>
          <w:sz w:val="32"/>
          <w:szCs w:val="32"/>
          <w:lang w:val="en-US" w:eastAsia="zh-CN"/>
        </w:rPr>
        <w:t>吴江河湖</w:t>
      </w:r>
      <w:r>
        <w:rPr>
          <w:rFonts w:hint="eastAsia" w:ascii="仿宋_GB2312" w:hAnsi="仿宋_GB2312" w:eastAsia="仿宋_GB2312" w:cs="仿宋_GB2312"/>
          <w:kern w:val="21"/>
          <w:sz w:val="32"/>
          <w:szCs w:val="32"/>
        </w:rPr>
        <w:t>云管家”等数字化应用。数字乡村建设入选数字江苏建设优秀实践成果。国防后备力量建设持续推进。</w:t>
      </w:r>
    </w:p>
    <w:p w14:paraId="2CD1EFEE">
      <w:pPr>
        <w:keepNext w:val="0"/>
        <w:keepLines w:val="0"/>
        <w:pageBreakBefore w:val="0"/>
        <w:widowControl w:val="0"/>
        <w:kinsoku/>
        <w:wordWrap/>
        <w:overflowPunct w:val="0"/>
        <w:topLinePunct/>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kern w:val="21"/>
          <w:sz w:val="32"/>
          <w:szCs w:val="32"/>
        </w:rPr>
      </w:pPr>
      <w:r>
        <w:rPr>
          <w:rFonts w:hint="eastAsia" w:ascii="仿宋_GB2312" w:hAnsi="仿宋_GB2312" w:eastAsia="仿宋_GB2312" w:cs="仿宋_GB2312"/>
          <w:b/>
          <w:kern w:val="21"/>
          <w:sz w:val="32"/>
          <w:szCs w:val="32"/>
        </w:rPr>
        <w:t>生态人文融合提升。</w:t>
      </w:r>
      <w:r>
        <w:rPr>
          <w:rFonts w:hint="eastAsia" w:ascii="仿宋_GB2312" w:hAnsi="仿宋_GB2312" w:eastAsia="仿宋_GB2312" w:cs="仿宋_GB2312"/>
          <w:kern w:val="21"/>
          <w:sz w:val="32"/>
          <w:szCs w:val="32"/>
        </w:rPr>
        <w:t>获评国家生态文明建设示范区、</w:t>
      </w:r>
      <w:r>
        <w:rPr>
          <w:rFonts w:hint="eastAsia" w:ascii="仿宋_GB2312" w:hAnsi="仿宋_GB2312" w:eastAsia="仿宋_GB2312" w:cs="仿宋_GB2312"/>
          <w:kern w:val="21"/>
          <w:sz w:val="32"/>
          <w:szCs w:val="32"/>
          <w:lang w:val="en-US" w:eastAsia="zh-CN"/>
        </w:rPr>
        <w:t>国家“绿水青山就是金山银山”实践创新基地，实现生态环境领域国家级荣誉大满贯。获评</w:t>
      </w:r>
      <w:r>
        <w:rPr>
          <w:rFonts w:hint="eastAsia" w:ascii="仿宋_GB2312" w:hAnsi="仿宋_GB2312" w:eastAsia="仿宋_GB2312" w:cs="仿宋_GB2312"/>
          <w:kern w:val="21"/>
          <w:sz w:val="32"/>
          <w:szCs w:val="32"/>
        </w:rPr>
        <w:t>国家水土保持示范县</w:t>
      </w:r>
      <w:r>
        <w:rPr>
          <w:rFonts w:hint="eastAsia" w:ascii="仿宋_GB2312" w:hAnsi="仿宋_GB2312" w:eastAsia="仿宋_GB2312" w:cs="仿宋_GB2312"/>
          <w:kern w:val="21"/>
          <w:sz w:val="32"/>
          <w:szCs w:val="32"/>
          <w:lang w:eastAsia="zh-CN"/>
        </w:rPr>
        <w:t>，</w:t>
      </w:r>
      <w:r>
        <w:rPr>
          <w:rFonts w:hint="eastAsia" w:ascii="仿宋_GB2312" w:hAnsi="仿宋_GB2312" w:eastAsia="仿宋_GB2312" w:cs="仿宋_GB2312"/>
          <w:kern w:val="21"/>
          <w:sz w:val="32"/>
          <w:szCs w:val="32"/>
        </w:rPr>
        <w:t>国省考断面水质、PM</w:t>
      </w:r>
      <w:r>
        <w:rPr>
          <w:rFonts w:hint="eastAsia" w:ascii="仿宋_GB2312" w:hAnsi="仿宋_GB2312" w:eastAsia="仿宋_GB2312" w:cs="仿宋_GB2312"/>
          <w:kern w:val="21"/>
          <w:sz w:val="32"/>
          <w:szCs w:val="32"/>
          <w:vertAlign w:val="subscript"/>
        </w:rPr>
        <w:t>2.5</w:t>
      </w:r>
      <w:r>
        <w:rPr>
          <w:rFonts w:hint="eastAsia" w:ascii="仿宋_GB2312" w:hAnsi="仿宋_GB2312" w:eastAsia="仿宋_GB2312" w:cs="仿宋_GB2312"/>
          <w:kern w:val="21"/>
          <w:sz w:val="32"/>
          <w:szCs w:val="32"/>
        </w:rPr>
        <w:t>浓度等指标明显改善，太湖吴江水域连续18年安全度夏，长漾建成国家级幸福河湖。</w:t>
      </w:r>
      <w:r>
        <w:rPr>
          <w:rFonts w:hint="eastAsia" w:ascii="仿宋_GB2312" w:hAnsi="仿宋_GB2312" w:eastAsia="仿宋_GB2312" w:cs="仿宋_GB2312"/>
          <w:kern w:val="21"/>
          <w:sz w:val="32"/>
          <w:szCs w:val="32"/>
          <w:lang w:val="en-US" w:eastAsia="zh-CN"/>
        </w:rPr>
        <w:t>获批国家碳达峰试点，</w:t>
      </w:r>
      <w:r>
        <w:rPr>
          <w:rFonts w:hint="eastAsia" w:ascii="仿宋_GB2312" w:hAnsi="仿宋_GB2312" w:eastAsia="仿宋_GB2312" w:cs="仿宋_GB2312"/>
          <w:kern w:val="21"/>
          <w:sz w:val="32"/>
          <w:szCs w:val="32"/>
        </w:rPr>
        <w:t>建成1家国家绿色数据中心、</w:t>
      </w:r>
      <w:r>
        <w:rPr>
          <w:rFonts w:hint="eastAsia" w:ascii="仿宋_GB2312" w:hAnsi="仿宋_GB2312" w:eastAsia="仿宋_GB2312" w:cs="仿宋_GB2312"/>
          <w:kern w:val="21"/>
          <w:sz w:val="32"/>
          <w:szCs w:val="32"/>
          <w:lang w:val="en-US" w:eastAsia="zh-CN"/>
        </w:rPr>
        <w:t>40</w:t>
      </w:r>
      <w:r>
        <w:rPr>
          <w:rFonts w:hint="eastAsia" w:ascii="仿宋_GB2312" w:hAnsi="仿宋_GB2312" w:eastAsia="仿宋_GB2312" w:cs="仿宋_GB2312"/>
          <w:kern w:val="21"/>
          <w:sz w:val="32"/>
          <w:szCs w:val="32"/>
        </w:rPr>
        <w:t>家国家级绿色工厂和</w:t>
      </w:r>
      <w:r>
        <w:rPr>
          <w:rFonts w:hint="eastAsia" w:ascii="仿宋_GB2312" w:hAnsi="仿宋_GB2312" w:eastAsia="仿宋_GB2312" w:cs="仿宋_GB2312"/>
          <w:kern w:val="21"/>
          <w:sz w:val="32"/>
          <w:szCs w:val="32"/>
          <w:lang w:val="en-US" w:eastAsia="zh-CN"/>
        </w:rPr>
        <w:t>3</w:t>
      </w:r>
      <w:r>
        <w:rPr>
          <w:rFonts w:hint="eastAsia" w:ascii="仿宋_GB2312" w:hAnsi="仿宋_GB2312" w:eastAsia="仿宋_GB2312" w:cs="仿宋_GB2312"/>
          <w:kern w:val="21"/>
          <w:sz w:val="32"/>
          <w:szCs w:val="32"/>
        </w:rPr>
        <w:t>个国家级、4个省级绿色工业园区。入选国家农业绿色发展先行区，获评全国休闲农业重点县、全国县域农业农村信息化发展先进县、“四好农村路”全国示范县。建成中国美丽休闲乡村4家、中国传统村落2家。东太湖生态旅游度假区晋升国家级旅游度假区，国家4A级旅游景区数达5家。苏州湾博物馆、数字艺术馆</w:t>
      </w:r>
      <w:r>
        <w:rPr>
          <w:rFonts w:hint="eastAsia" w:ascii="仿宋_GB2312" w:hAnsi="仿宋_GB2312" w:eastAsia="仿宋_GB2312" w:cs="仿宋_GB2312"/>
          <w:kern w:val="21"/>
          <w:sz w:val="32"/>
          <w:szCs w:val="32"/>
          <w:lang w:val="en-US" w:eastAsia="zh-CN"/>
        </w:rPr>
        <w:t>等</w:t>
      </w:r>
      <w:r>
        <w:rPr>
          <w:rFonts w:hint="eastAsia" w:ascii="仿宋_GB2312" w:hAnsi="仿宋_GB2312" w:eastAsia="仿宋_GB2312" w:cs="仿宋_GB2312"/>
          <w:kern w:val="21"/>
          <w:sz w:val="32"/>
          <w:szCs w:val="32"/>
        </w:rPr>
        <w:t>启用。村上·长漾里获评全国最美乡村公共文化空间。国家文化大数据华东区域交易平台苏州运营中心落户吴江。</w:t>
      </w:r>
      <w:r>
        <w:rPr>
          <w:rFonts w:hint="eastAsia" w:ascii="仿宋_GB2312" w:hAnsi="仿宋_GB2312" w:eastAsia="仿宋_GB2312" w:cs="仿宋_GB2312"/>
          <w:kern w:val="21"/>
          <w:sz w:val="32"/>
          <w:szCs w:val="32"/>
          <w:lang w:val="en-US" w:eastAsia="zh-CN"/>
        </w:rPr>
        <w:t>苏州</w:t>
      </w:r>
      <w:r>
        <w:rPr>
          <w:rFonts w:hint="eastAsia" w:ascii="仿宋_GB2312" w:hAnsi="仿宋_GB2312" w:eastAsia="仿宋_GB2312" w:cs="仿宋_GB2312"/>
          <w:kern w:val="21"/>
          <w:sz w:val="32"/>
          <w:szCs w:val="32"/>
        </w:rPr>
        <w:t>江村学院启用。举办环太湖国际公路自行车赛、世界杯攀岩赛等高端品牌赛事。</w:t>
      </w:r>
    </w:p>
    <w:p w14:paraId="31D0F777">
      <w:pPr>
        <w:pStyle w:val="3"/>
        <w:keepNext w:val="0"/>
        <w:keepLines w:val="0"/>
        <w:pageBreakBefore w:val="0"/>
        <w:widowControl w:val="0"/>
        <w:kinsoku/>
        <w:wordWrap/>
        <w:overflowPunct w:val="0"/>
        <w:topLinePunct/>
        <w:autoSpaceDE/>
        <w:autoSpaceDN/>
        <w:bidi w:val="0"/>
        <w:spacing w:before="156" w:after="156" w:line="560" w:lineRule="exact"/>
        <w:jc w:val="center"/>
        <w:textAlignment w:val="auto"/>
        <w:rPr>
          <w:rFonts w:hint="eastAsia" w:eastAsia="楷体_GB2312"/>
          <w:kern w:val="21"/>
          <w:lang w:eastAsia="zh-CN"/>
        </w:rPr>
      </w:pPr>
      <w:bookmarkStart w:id="27" w:name="_Toc26192"/>
      <w:bookmarkStart w:id="28" w:name="_Toc995"/>
      <w:bookmarkStart w:id="29" w:name="_Toc1499197053"/>
      <w:bookmarkStart w:id="30" w:name="_Toc23518"/>
      <w:bookmarkStart w:id="31" w:name="_Toc31291"/>
      <w:bookmarkStart w:id="32" w:name="_Toc85067101"/>
      <w:bookmarkStart w:id="33" w:name="_Toc25576"/>
      <w:bookmarkStart w:id="34" w:name="_Toc12273"/>
      <w:bookmarkStart w:id="35" w:name="_Toc6745"/>
      <w:bookmarkStart w:id="36" w:name="_Toc1614663906"/>
      <w:r>
        <w:rPr>
          <w:rFonts w:ascii="楷体_GB2312" w:hAnsi="楷体_GB2312" w:eastAsia="楷体_GB2312" w:cs="楷体_GB2312"/>
          <w:kern w:val="21"/>
        </w:rPr>
        <w:t xml:space="preserve">第二节 </w:t>
      </w:r>
      <w:bookmarkEnd w:id="27"/>
      <w:bookmarkEnd w:id="28"/>
      <w:bookmarkEnd w:id="29"/>
      <w:bookmarkEnd w:id="30"/>
      <w:bookmarkEnd w:id="31"/>
      <w:r>
        <w:rPr>
          <w:rFonts w:hint="eastAsia" w:ascii="楷体_GB2312" w:hAnsi="楷体_GB2312" w:eastAsia="楷体_GB2312" w:cs="楷体_GB2312"/>
          <w:kern w:val="21"/>
          <w:lang w:val="en-US" w:eastAsia="zh-CN"/>
        </w:rPr>
        <w:t xml:space="preserve"> </w:t>
      </w:r>
      <w:r>
        <w:rPr>
          <w:rFonts w:hint="eastAsia" w:ascii="楷体_GB2312" w:hAnsi="楷体_GB2312" w:eastAsia="楷体_GB2312" w:cs="楷体_GB2312"/>
          <w:kern w:val="21"/>
          <w:lang w:eastAsia="zh-CN"/>
        </w:rPr>
        <w:t>形势研判</w:t>
      </w:r>
      <w:bookmarkEnd w:id="32"/>
      <w:bookmarkEnd w:id="33"/>
      <w:bookmarkEnd w:id="34"/>
      <w:bookmarkEnd w:id="35"/>
      <w:bookmarkEnd w:id="36"/>
    </w:p>
    <w:p w14:paraId="501F8D91">
      <w:pPr>
        <w:keepNext w:val="0"/>
        <w:keepLines w:val="0"/>
        <w:pageBreakBefore w:val="0"/>
        <w:widowControl w:val="0"/>
        <w:kinsoku/>
        <w:wordWrap/>
        <w:overflowPunct w:val="0"/>
        <w:topLinePunct/>
        <w:autoSpaceDE/>
        <w:autoSpaceDN/>
        <w:bidi w:val="0"/>
        <w:spacing w:line="560" w:lineRule="exact"/>
        <w:ind w:firstLine="640" w:firstLineChars="200"/>
        <w:jc w:val="both"/>
        <w:textAlignment w:val="auto"/>
        <w:rPr>
          <w:rFonts w:hint="eastAsia" w:ascii="仿宋_GB2312" w:hAnsi="仿宋_GB2312" w:eastAsia="仿宋_GB2312" w:cs="仿宋_GB2312"/>
          <w:bCs/>
          <w:kern w:val="21"/>
          <w:sz w:val="32"/>
          <w:szCs w:val="32"/>
        </w:rPr>
      </w:pPr>
      <w:r>
        <w:rPr>
          <w:rFonts w:hint="eastAsia" w:ascii="仿宋_GB2312" w:hAnsi="仿宋_GB2312" w:eastAsia="仿宋_GB2312" w:cs="仿宋_GB2312"/>
          <w:bCs/>
          <w:kern w:val="21"/>
          <w:sz w:val="32"/>
          <w:szCs w:val="32"/>
        </w:rPr>
        <w:t>“十五五”时期，吴江发展环境面临深刻复杂变化，战略机遇和风险挑战并存。</w:t>
      </w:r>
      <w:r>
        <w:rPr>
          <w:rFonts w:hint="eastAsia" w:ascii="仿宋_GB2312" w:hAnsi="仿宋_GB2312" w:eastAsia="仿宋_GB2312" w:cs="仿宋_GB2312"/>
          <w:b/>
          <w:bCs w:val="0"/>
          <w:kern w:val="21"/>
          <w:sz w:val="32"/>
          <w:szCs w:val="32"/>
        </w:rPr>
        <w:t>从国际看，</w:t>
      </w:r>
      <w:r>
        <w:rPr>
          <w:rFonts w:hint="eastAsia" w:ascii="仿宋_GB2312" w:hAnsi="仿宋_GB2312" w:eastAsia="仿宋_GB2312" w:cs="仿宋_GB2312"/>
          <w:bCs/>
          <w:kern w:val="21"/>
          <w:sz w:val="32"/>
          <w:szCs w:val="32"/>
        </w:rPr>
        <w:t>世界百年变局加速演进，国际力量对比深刻调整，新一轮科技革命和产业变革加速突破。同时，世界变乱交织、动荡加剧，地缘冲突易发多发，国际经济贸易秩序遇到严峻挑战，世界经济增长动能不足。</w:t>
      </w:r>
      <w:r>
        <w:rPr>
          <w:rFonts w:hint="eastAsia" w:ascii="仿宋_GB2312" w:hAnsi="仿宋_GB2312" w:eastAsia="仿宋_GB2312" w:cs="仿宋_GB2312"/>
          <w:b/>
          <w:bCs w:val="0"/>
          <w:kern w:val="21"/>
          <w:sz w:val="32"/>
          <w:szCs w:val="32"/>
        </w:rPr>
        <w:t>从国内看，</w:t>
      </w:r>
      <w:r>
        <w:rPr>
          <w:rFonts w:hint="eastAsia" w:ascii="仿宋_GB2312" w:hAnsi="仿宋_GB2312" w:eastAsia="仿宋_GB2312" w:cs="仿宋_GB2312"/>
          <w:bCs/>
          <w:kern w:val="21"/>
          <w:sz w:val="32"/>
          <w:szCs w:val="32"/>
        </w:rPr>
        <w:t>我国经济基础稳、优势多、韧性强、潜能大，长期向好的支撑条件和基本趋势没有变，中国特色社会主义制度优势、超大规模市场优势、完整产业体系优势、丰富人才资源优势更加彰显。长三角一体化发展纵深推进，为构建新发展格局、推进高水平对外开放赢得了战略主动。江苏实体经济根基更加巩固，科技创新氛围日益浓厚，新质生产力发展势头良好。苏州发展基础更加坚实，要素集聚力、文化软实力、营商环境吸引力等显著增强。</w:t>
      </w:r>
    </w:p>
    <w:p w14:paraId="6DB32D09">
      <w:pPr>
        <w:keepNext w:val="0"/>
        <w:keepLines w:val="0"/>
        <w:pageBreakBefore w:val="0"/>
        <w:widowControl w:val="0"/>
        <w:kinsoku/>
        <w:wordWrap/>
        <w:overflowPunct w:val="0"/>
        <w:topLinePunct/>
        <w:autoSpaceDE/>
        <w:autoSpaceDN/>
        <w:bidi w:val="0"/>
        <w:spacing w:line="560" w:lineRule="exact"/>
        <w:ind w:firstLine="643" w:firstLineChars="200"/>
        <w:jc w:val="both"/>
        <w:textAlignment w:val="auto"/>
        <w:rPr>
          <w:rFonts w:hint="eastAsia" w:ascii="仿宋_GB2312" w:hAnsi="仿宋_GB2312" w:eastAsia="仿宋_GB2312" w:cs="仿宋_GB2312"/>
          <w:kern w:val="21"/>
          <w:sz w:val="32"/>
          <w:szCs w:val="32"/>
          <w:lang w:eastAsia="zh-CN"/>
        </w:rPr>
      </w:pPr>
      <w:r>
        <w:rPr>
          <w:rFonts w:hint="eastAsia" w:ascii="仿宋_GB2312" w:hAnsi="仿宋_GB2312" w:eastAsia="仿宋_GB2312" w:cs="仿宋_GB2312"/>
          <w:b/>
          <w:bCs w:val="0"/>
          <w:kern w:val="21"/>
          <w:sz w:val="32"/>
          <w:szCs w:val="32"/>
        </w:rPr>
        <w:t>从吴江看，</w:t>
      </w:r>
      <w:r>
        <w:rPr>
          <w:rFonts w:hint="eastAsia" w:ascii="仿宋_GB2312" w:hAnsi="仿宋_GB2312" w:eastAsia="仿宋_GB2312" w:cs="仿宋_GB2312"/>
          <w:bCs/>
          <w:kern w:val="21"/>
          <w:sz w:val="32"/>
          <w:szCs w:val="32"/>
        </w:rPr>
        <w:t>我区在长期奋斗中夯实经济社会发展根基，实体经济底盘更加稳固，民营经济活力强、韧性足，示范区建设积厚成势，区域竞争力和显示度不断提升，接下来将进入产业发展“创新引领、提质增效”阶段，绿色发展“生态赋能、优势转化”阶段，改革创新“重点突破、协同深化”阶段，民生服务“精准匹配、扩优提质”阶段。</w:t>
      </w:r>
      <w:r>
        <w:rPr>
          <w:rFonts w:hint="eastAsia" w:ascii="仿宋_GB2312" w:hAnsi="仿宋_GB2312" w:eastAsia="仿宋_GB2312" w:cs="仿宋_GB2312"/>
          <w:kern w:val="21"/>
          <w:sz w:val="32"/>
          <w:szCs w:val="32"/>
        </w:rPr>
        <w:t>同时，受外部环境及内生因素影响，</w:t>
      </w:r>
      <w:r>
        <w:rPr>
          <w:rFonts w:hint="eastAsia" w:ascii="仿宋_GB2312" w:hAnsi="仿宋_GB2312" w:eastAsia="仿宋_GB2312" w:cs="仿宋_GB2312"/>
          <w:b/>
          <w:bCs/>
          <w:kern w:val="21"/>
          <w:sz w:val="32"/>
          <w:szCs w:val="32"/>
        </w:rPr>
        <w:t>吴江经济社会发展仍然面临一些挑战：</w:t>
      </w:r>
      <w:r>
        <w:rPr>
          <w:rFonts w:hint="eastAsia" w:ascii="仿宋_GB2312" w:hAnsi="仿宋_GB2312" w:eastAsia="仿宋_GB2312" w:cs="仿宋_GB2312"/>
          <w:b w:val="0"/>
          <w:bCs w:val="0"/>
          <w:kern w:val="21"/>
          <w:sz w:val="32"/>
          <w:szCs w:val="32"/>
        </w:rPr>
        <w:t>改革创新需持续深化，</w:t>
      </w:r>
      <w:r>
        <w:rPr>
          <w:rFonts w:hint="eastAsia" w:ascii="仿宋_GB2312" w:hAnsi="仿宋_GB2312" w:eastAsia="仿宋_GB2312" w:cs="仿宋_GB2312"/>
          <w:kern w:val="21"/>
          <w:sz w:val="32"/>
          <w:szCs w:val="32"/>
        </w:rPr>
        <w:t>科创生态链还需健全完善；</w:t>
      </w:r>
      <w:r>
        <w:rPr>
          <w:rFonts w:hint="eastAsia" w:ascii="仿宋_GB2312" w:hAnsi="仿宋_GB2312" w:eastAsia="仿宋_GB2312" w:cs="仿宋_GB2312"/>
          <w:b w:val="0"/>
          <w:bCs w:val="0"/>
          <w:kern w:val="21"/>
          <w:sz w:val="32"/>
          <w:szCs w:val="32"/>
        </w:rPr>
        <w:t>新旧动能需加速转换，</w:t>
      </w:r>
      <w:r>
        <w:rPr>
          <w:rFonts w:hint="eastAsia" w:ascii="仿宋_GB2312" w:hAnsi="仿宋_GB2312" w:eastAsia="仿宋_GB2312" w:cs="仿宋_GB2312"/>
          <w:kern w:val="21"/>
          <w:sz w:val="32"/>
          <w:szCs w:val="32"/>
        </w:rPr>
        <w:t>有效投入支撑不够；</w:t>
      </w:r>
      <w:r>
        <w:rPr>
          <w:rFonts w:hint="eastAsia" w:ascii="仿宋_GB2312" w:hAnsi="仿宋_GB2312" w:eastAsia="仿宋_GB2312" w:cs="仿宋_GB2312"/>
          <w:b w:val="0"/>
          <w:bCs w:val="0"/>
          <w:kern w:val="21"/>
          <w:sz w:val="32"/>
          <w:szCs w:val="32"/>
        </w:rPr>
        <w:t>公共服务需锻长补短，</w:t>
      </w:r>
      <w:r>
        <w:rPr>
          <w:rFonts w:hint="eastAsia" w:ascii="仿宋_GB2312" w:hAnsi="仿宋_GB2312" w:eastAsia="仿宋_GB2312" w:cs="仿宋_GB2312"/>
          <w:kern w:val="21"/>
          <w:sz w:val="32"/>
          <w:szCs w:val="32"/>
        </w:rPr>
        <w:t>城市品质需进一步提升</w:t>
      </w:r>
      <w:r>
        <w:rPr>
          <w:rFonts w:hint="eastAsia" w:ascii="仿宋_GB2312" w:hAnsi="仿宋_GB2312" w:eastAsia="仿宋_GB2312" w:cs="仿宋_GB2312"/>
          <w:kern w:val="21"/>
          <w:sz w:val="32"/>
          <w:szCs w:val="32"/>
          <w:lang w:eastAsia="zh-CN"/>
        </w:rPr>
        <w:t>，</w:t>
      </w:r>
      <w:r>
        <w:rPr>
          <w:rFonts w:hint="eastAsia" w:ascii="仿宋_GB2312" w:hAnsi="仿宋_GB2312" w:eastAsia="仿宋_GB2312" w:cs="仿宋_GB2312"/>
          <w:kern w:val="21"/>
          <w:sz w:val="32"/>
          <w:szCs w:val="32"/>
        </w:rPr>
        <w:t>人口形势变化带来诸多问题挑战</w:t>
      </w:r>
      <w:r>
        <w:rPr>
          <w:rFonts w:hint="eastAsia" w:ascii="仿宋_GB2312" w:hAnsi="仿宋_GB2312" w:eastAsia="仿宋_GB2312" w:cs="仿宋_GB2312"/>
          <w:kern w:val="21"/>
          <w:sz w:val="32"/>
          <w:szCs w:val="32"/>
          <w:lang w:eastAsia="zh-CN"/>
        </w:rPr>
        <w:t>；</w:t>
      </w:r>
      <w:r>
        <w:rPr>
          <w:rFonts w:hint="eastAsia" w:ascii="仿宋_GB2312" w:hAnsi="仿宋_GB2312" w:eastAsia="仿宋_GB2312" w:cs="仿宋_GB2312"/>
          <w:b w:val="0"/>
          <w:bCs w:val="0"/>
          <w:kern w:val="21"/>
          <w:sz w:val="32"/>
          <w:szCs w:val="32"/>
        </w:rPr>
        <w:t>治理能力需加快提升，</w:t>
      </w:r>
      <w:r>
        <w:rPr>
          <w:rFonts w:hint="eastAsia" w:ascii="仿宋_GB2312" w:hAnsi="仿宋_GB2312" w:eastAsia="仿宋_GB2312" w:cs="仿宋_GB2312"/>
          <w:kern w:val="21"/>
          <w:sz w:val="32"/>
          <w:szCs w:val="32"/>
          <w:lang w:eastAsia="zh-CN"/>
        </w:rPr>
        <w:t>风险防范化解能力</w:t>
      </w:r>
      <w:r>
        <w:rPr>
          <w:rFonts w:hint="eastAsia" w:ascii="仿宋_GB2312" w:hAnsi="仿宋_GB2312" w:eastAsia="仿宋_GB2312" w:cs="仿宋_GB2312"/>
          <w:kern w:val="21"/>
          <w:sz w:val="32"/>
          <w:szCs w:val="32"/>
        </w:rPr>
        <w:t>仍需</w:t>
      </w:r>
      <w:r>
        <w:rPr>
          <w:rFonts w:hint="eastAsia" w:ascii="仿宋_GB2312" w:hAnsi="仿宋_GB2312" w:eastAsia="仿宋_GB2312" w:cs="仿宋_GB2312"/>
          <w:kern w:val="21"/>
          <w:sz w:val="32"/>
          <w:szCs w:val="32"/>
          <w:lang w:eastAsia="zh-CN"/>
        </w:rPr>
        <w:t>增强</w:t>
      </w:r>
      <w:r>
        <w:rPr>
          <w:rFonts w:hint="eastAsia" w:ascii="仿宋_GB2312" w:hAnsi="仿宋_GB2312" w:eastAsia="仿宋_GB2312" w:cs="仿宋_GB2312"/>
          <w:kern w:val="21"/>
          <w:sz w:val="32"/>
          <w:szCs w:val="32"/>
        </w:rPr>
        <w:t>；</w:t>
      </w:r>
      <w:r>
        <w:rPr>
          <w:rFonts w:hint="eastAsia" w:ascii="仿宋_GB2312" w:hAnsi="仿宋_GB2312" w:eastAsia="仿宋_GB2312" w:cs="仿宋_GB2312"/>
          <w:b w:val="0"/>
          <w:bCs w:val="0"/>
          <w:kern w:val="21"/>
          <w:sz w:val="32"/>
          <w:szCs w:val="32"/>
        </w:rPr>
        <w:t>要素供给需补齐缺口，</w:t>
      </w:r>
      <w:r>
        <w:rPr>
          <w:rFonts w:hint="eastAsia" w:ascii="仿宋_GB2312" w:hAnsi="仿宋_GB2312" w:eastAsia="仿宋_GB2312" w:cs="仿宋_GB2312"/>
          <w:kern w:val="21"/>
          <w:sz w:val="32"/>
          <w:szCs w:val="32"/>
        </w:rPr>
        <w:t>财政收支紧平衡态势突出，建设用地减量化发展压力较大，高端人才供给存在不足</w:t>
      </w:r>
      <w:r>
        <w:rPr>
          <w:rFonts w:hint="eastAsia" w:ascii="仿宋_GB2312" w:hAnsi="仿宋_GB2312" w:eastAsia="仿宋_GB2312" w:cs="仿宋_GB2312"/>
          <w:kern w:val="21"/>
          <w:sz w:val="32"/>
          <w:szCs w:val="32"/>
          <w:lang w:eastAsia="zh-CN"/>
        </w:rPr>
        <w:t>。</w:t>
      </w:r>
    </w:p>
    <w:p w14:paraId="172C76E4">
      <w:pPr>
        <w:keepNext w:val="0"/>
        <w:keepLines w:val="0"/>
        <w:pageBreakBefore w:val="0"/>
        <w:widowControl w:val="0"/>
        <w:kinsoku/>
        <w:wordWrap/>
        <w:overflowPunct w:val="0"/>
        <w:topLinePunct/>
        <w:autoSpaceDE/>
        <w:autoSpaceDN/>
        <w:bidi w:val="0"/>
        <w:spacing w:line="560" w:lineRule="exact"/>
        <w:ind w:firstLine="640" w:firstLineChars="200"/>
        <w:jc w:val="both"/>
        <w:textAlignment w:val="auto"/>
        <w:rPr>
          <w:rFonts w:hint="eastAsia" w:ascii="仿宋_GB2312" w:hAnsi="仿宋_GB2312" w:eastAsia="仿宋_GB2312" w:cs="仿宋_GB2312"/>
          <w:kern w:val="21"/>
          <w:sz w:val="32"/>
          <w:szCs w:val="32"/>
        </w:rPr>
      </w:pPr>
      <w:r>
        <w:rPr>
          <w:rFonts w:hint="eastAsia" w:ascii="仿宋_GB2312" w:hAnsi="仿宋_GB2312" w:eastAsia="仿宋_GB2312" w:cs="仿宋_GB2312"/>
          <w:kern w:val="21"/>
          <w:sz w:val="32"/>
          <w:szCs w:val="32"/>
        </w:rPr>
        <w:t>新时代以来，习近平总书记对江苏、苏州工作以及对长三角一体化发展给予深切关怀和战略指引，为我们做好工作、赢得更大发展提供了根本遵循和行动指南。</w:t>
      </w:r>
      <w:r>
        <w:rPr>
          <w:rFonts w:hint="eastAsia" w:ascii="仿宋_GB2312" w:hAnsi="仿宋_GB2312" w:eastAsia="仿宋_GB2312" w:cs="仿宋_GB2312"/>
          <w:kern w:val="21"/>
          <w:sz w:val="32"/>
          <w:szCs w:val="32"/>
          <w:highlight w:val="none"/>
        </w:rPr>
        <w:t>要深刻领悟“两个确立”的决定性意义，增强“四个意识”、坚定“四个自信”、做到“两个维护”</w:t>
      </w:r>
      <w:r>
        <w:rPr>
          <w:rFonts w:hint="eastAsia" w:ascii="仿宋_GB2312" w:hAnsi="仿宋_GB2312" w:eastAsia="仿宋_GB2312" w:cs="仿宋_GB2312"/>
          <w:kern w:val="21"/>
          <w:sz w:val="32"/>
          <w:szCs w:val="32"/>
        </w:rPr>
        <w:t>，坚持用全面、辩证、长远的眼光分析形势，因势利导、顺势而为，以历史主动精神迎接风险挑战，集中精力办好自己的事，</w:t>
      </w:r>
      <w:r>
        <w:rPr>
          <w:rFonts w:hint="eastAsia" w:ascii="仿宋_GB2312" w:hAnsi="仿宋_GB2312" w:eastAsia="仿宋_GB2312" w:cs="仿宋_GB2312"/>
          <w:kern w:val="21"/>
          <w:sz w:val="32"/>
          <w:szCs w:val="32"/>
          <w:lang w:bidi="ar"/>
        </w:rPr>
        <w:t>锚定“一田三新”</w:t>
      </w:r>
      <w:r>
        <w:rPr>
          <w:rFonts w:hint="eastAsia" w:ascii="仿宋_GB2312" w:hAnsi="仿宋_GB2312" w:eastAsia="仿宋_GB2312" w:cs="仿宋_GB2312"/>
          <w:kern w:val="21"/>
          <w:sz w:val="32"/>
          <w:szCs w:val="32"/>
          <w:lang w:eastAsia="zh-CN" w:bidi="ar"/>
        </w:rPr>
        <w:t>战略</w:t>
      </w:r>
      <w:r>
        <w:rPr>
          <w:rFonts w:hint="eastAsia" w:ascii="仿宋_GB2312" w:hAnsi="仿宋_GB2312" w:eastAsia="仿宋_GB2312" w:cs="仿宋_GB2312"/>
          <w:kern w:val="21"/>
          <w:sz w:val="32"/>
          <w:szCs w:val="32"/>
          <w:lang w:bidi="ar"/>
        </w:rPr>
        <w:t>定位，践行长三角一体化发展战略“先手棋”和“突破口”的使命任务</w:t>
      </w:r>
      <w:r>
        <w:rPr>
          <w:rFonts w:hint="eastAsia" w:ascii="仿宋_GB2312" w:hAnsi="仿宋_GB2312" w:eastAsia="仿宋_GB2312" w:cs="仿宋_GB2312"/>
          <w:kern w:val="21"/>
          <w:sz w:val="32"/>
          <w:szCs w:val="32"/>
          <w:lang w:eastAsia="zh-CN" w:bidi="ar"/>
        </w:rPr>
        <w:t>，</w:t>
      </w:r>
      <w:r>
        <w:rPr>
          <w:rFonts w:hint="eastAsia" w:ascii="仿宋_GB2312" w:hAnsi="仿宋_GB2312" w:eastAsia="仿宋_GB2312" w:cs="仿宋_GB2312"/>
          <w:kern w:val="21"/>
          <w:sz w:val="32"/>
          <w:szCs w:val="32"/>
        </w:rPr>
        <w:t>全力在中国式现代化吴江新实践中展现新作为。</w:t>
      </w:r>
    </w:p>
    <w:p w14:paraId="1A8BC535">
      <w:pPr>
        <w:keepNext w:val="0"/>
        <w:keepLines w:val="0"/>
        <w:pageBreakBefore w:val="0"/>
        <w:widowControl w:val="0"/>
        <w:kinsoku/>
        <w:wordWrap/>
        <w:overflowPunct w:val="0"/>
        <w:topLinePunct/>
        <w:autoSpaceDE/>
        <w:autoSpaceDN/>
        <w:bidi w:val="0"/>
        <w:spacing w:line="579" w:lineRule="exact"/>
        <w:jc w:val="both"/>
        <w:textAlignment w:val="auto"/>
        <w:rPr>
          <w:rFonts w:ascii="Times New Roman" w:hAnsi="Times New Roman" w:eastAsia="黑体" w:cs="Times New Roman"/>
          <w:b/>
          <w:bCs/>
          <w:kern w:val="21"/>
          <w:sz w:val="32"/>
          <w:szCs w:val="32"/>
        </w:rPr>
      </w:pPr>
      <w:r>
        <w:rPr>
          <w:rFonts w:ascii="Times New Roman" w:hAnsi="Times New Roman" w:eastAsia="黑体" w:cs="Times New Roman"/>
          <w:b/>
          <w:bCs/>
          <w:kern w:val="21"/>
          <w:sz w:val="32"/>
          <w:szCs w:val="32"/>
        </w:rPr>
        <w:br w:type="page"/>
      </w:r>
    </w:p>
    <w:p w14:paraId="789F9012">
      <w:pPr>
        <w:pStyle w:val="2"/>
        <w:keepNext w:val="0"/>
        <w:keepLines w:val="0"/>
        <w:pageBreakBefore w:val="0"/>
        <w:widowControl w:val="0"/>
        <w:kinsoku/>
        <w:wordWrap/>
        <w:overflowPunct w:val="0"/>
        <w:topLinePunct/>
        <w:autoSpaceDE/>
        <w:autoSpaceDN/>
        <w:bidi w:val="0"/>
        <w:spacing w:line="560" w:lineRule="exact"/>
        <w:jc w:val="center"/>
        <w:textAlignment w:val="auto"/>
        <w:rPr>
          <w:kern w:val="21"/>
        </w:rPr>
      </w:pPr>
      <w:bookmarkStart w:id="37" w:name="_Toc17913"/>
      <w:bookmarkStart w:id="38" w:name="_Toc31474"/>
      <w:bookmarkStart w:id="39" w:name="_Toc585521737"/>
      <w:bookmarkStart w:id="40" w:name="_Toc346469402"/>
      <w:bookmarkStart w:id="41" w:name="_Toc21428"/>
      <w:bookmarkStart w:id="42" w:name="_Toc1917624467"/>
      <w:bookmarkStart w:id="43" w:name="_Toc16102"/>
      <w:bookmarkStart w:id="44" w:name="_Toc18308"/>
      <w:bookmarkStart w:id="45" w:name="_Toc15037"/>
      <w:bookmarkStart w:id="46" w:name="_Toc4657"/>
      <w:r>
        <w:rPr>
          <w:rFonts w:hint="eastAsia"/>
          <w:kern w:val="21"/>
        </w:rPr>
        <w:t>第二章  “十五五”</w:t>
      </w:r>
      <w:bookmarkEnd w:id="37"/>
      <w:r>
        <w:rPr>
          <w:rFonts w:hint="eastAsia"/>
          <w:kern w:val="21"/>
        </w:rPr>
        <w:t>时期</w:t>
      </w:r>
      <w:bookmarkEnd w:id="38"/>
      <w:bookmarkEnd w:id="39"/>
      <w:bookmarkEnd w:id="40"/>
      <w:bookmarkEnd w:id="41"/>
      <w:bookmarkEnd w:id="42"/>
      <w:bookmarkEnd w:id="43"/>
      <w:bookmarkEnd w:id="44"/>
      <w:r>
        <w:rPr>
          <w:rFonts w:hint="eastAsia"/>
          <w:kern w:val="21"/>
          <w:lang w:eastAsia="zh-CN"/>
        </w:rPr>
        <w:t>经济社会发展的指导方针和主要目标</w:t>
      </w:r>
      <w:bookmarkEnd w:id="45"/>
      <w:bookmarkEnd w:id="46"/>
    </w:p>
    <w:p w14:paraId="38C686FB">
      <w:pPr>
        <w:keepNext w:val="0"/>
        <w:keepLines w:val="0"/>
        <w:pageBreakBefore w:val="0"/>
        <w:widowControl w:val="0"/>
        <w:kinsoku/>
        <w:wordWrap/>
        <w:overflowPunct w:val="0"/>
        <w:topLinePunct/>
        <w:autoSpaceDE/>
        <w:autoSpaceDN/>
        <w:bidi w:val="0"/>
        <w:spacing w:line="560" w:lineRule="exact"/>
        <w:jc w:val="center"/>
        <w:textAlignment w:val="auto"/>
        <w:rPr>
          <w:rFonts w:ascii="Times New Roman" w:hAnsi="Times New Roman" w:cs="Times New Roman"/>
          <w:kern w:val="21"/>
        </w:rPr>
      </w:pPr>
    </w:p>
    <w:p w14:paraId="6CA34738">
      <w:pPr>
        <w:pStyle w:val="3"/>
        <w:keepNext w:val="0"/>
        <w:keepLines w:val="0"/>
        <w:pageBreakBefore w:val="0"/>
        <w:widowControl w:val="0"/>
        <w:kinsoku/>
        <w:wordWrap/>
        <w:overflowPunct w:val="0"/>
        <w:topLinePunct/>
        <w:autoSpaceDE/>
        <w:autoSpaceDN/>
        <w:bidi w:val="0"/>
        <w:spacing w:before="156" w:after="156" w:line="560" w:lineRule="exact"/>
        <w:jc w:val="center"/>
        <w:textAlignment w:val="auto"/>
        <w:rPr>
          <w:rFonts w:ascii="楷体_GB2312" w:hAnsi="楷体_GB2312" w:eastAsia="楷体_GB2312" w:cs="楷体_GB2312"/>
          <w:kern w:val="21"/>
        </w:rPr>
      </w:pPr>
      <w:bookmarkStart w:id="47" w:name="_Toc18648"/>
      <w:bookmarkStart w:id="48" w:name="_Toc376840848"/>
      <w:bookmarkStart w:id="49" w:name="_Toc10882"/>
      <w:bookmarkStart w:id="50" w:name="_Toc14757"/>
      <w:bookmarkStart w:id="51" w:name="_Toc5618"/>
      <w:bookmarkStart w:id="52" w:name="_Toc1176421318"/>
      <w:bookmarkStart w:id="53" w:name="_Toc1849569839"/>
      <w:bookmarkStart w:id="54" w:name="_Toc8155"/>
      <w:bookmarkStart w:id="55" w:name="_Toc24809"/>
      <w:bookmarkStart w:id="56" w:name="_Toc6706"/>
      <w:r>
        <w:rPr>
          <w:rFonts w:ascii="楷体_GB2312" w:hAnsi="楷体_GB2312" w:eastAsia="楷体_GB2312" w:cs="楷体_GB2312"/>
          <w:kern w:val="21"/>
        </w:rPr>
        <w:t xml:space="preserve">第一节 </w:t>
      </w:r>
      <w:r>
        <w:rPr>
          <w:rFonts w:hint="eastAsia" w:ascii="楷体_GB2312" w:hAnsi="楷体_GB2312" w:eastAsia="楷体_GB2312" w:cs="楷体_GB2312"/>
          <w:kern w:val="21"/>
          <w:lang w:val="en-US" w:eastAsia="zh-CN"/>
        </w:rPr>
        <w:t xml:space="preserve"> </w:t>
      </w:r>
      <w:r>
        <w:rPr>
          <w:rFonts w:ascii="楷体_GB2312" w:hAnsi="楷体_GB2312" w:eastAsia="楷体_GB2312" w:cs="楷体_GB2312"/>
          <w:kern w:val="21"/>
        </w:rPr>
        <w:t>指导思想</w:t>
      </w:r>
      <w:bookmarkEnd w:id="47"/>
      <w:bookmarkEnd w:id="48"/>
      <w:bookmarkEnd w:id="49"/>
      <w:bookmarkEnd w:id="50"/>
      <w:bookmarkEnd w:id="51"/>
      <w:bookmarkEnd w:id="52"/>
      <w:bookmarkEnd w:id="53"/>
      <w:bookmarkEnd w:id="54"/>
      <w:bookmarkEnd w:id="55"/>
      <w:bookmarkEnd w:id="56"/>
    </w:p>
    <w:p w14:paraId="2015D7A2">
      <w:pPr>
        <w:pStyle w:val="22"/>
        <w:keepNext w:val="0"/>
        <w:keepLines w:val="0"/>
        <w:pageBreakBefore w:val="0"/>
        <w:widowControl w:val="0"/>
        <w:kinsoku/>
        <w:wordWrap/>
        <w:overflowPunct w:val="0"/>
        <w:topLinePunct/>
        <w:autoSpaceDE/>
        <w:autoSpaceDN/>
        <w:bidi w:val="0"/>
        <w:adjustRightInd w:val="0"/>
        <w:snapToGrid w:val="0"/>
        <w:spacing w:before="0" w:beforeAutospacing="0" w:after="0" w:afterAutospacing="0" w:line="560" w:lineRule="exact"/>
        <w:ind w:firstLine="640" w:firstLineChars="200"/>
        <w:jc w:val="both"/>
        <w:textAlignment w:val="auto"/>
        <w:rPr>
          <w:rFonts w:hint="eastAsia" w:ascii="仿宋_GB2312" w:hAnsi="微软雅黑" w:eastAsia="仿宋_GB2312" w:cs="Times New Roman"/>
          <w:sz w:val="32"/>
          <w:szCs w:val="32"/>
          <w:highlight w:val="yellow"/>
          <w:lang w:bidi="ar"/>
        </w:rPr>
      </w:pPr>
      <w:r>
        <w:rPr>
          <w:rFonts w:hint="eastAsia" w:ascii="仿宋_GB2312" w:hAnsi="微软雅黑" w:eastAsia="仿宋_GB2312"/>
          <w:sz w:val="32"/>
          <w:szCs w:val="32"/>
        </w:rPr>
        <w:t>坚持马克思列宁主义、毛泽东思想、邓小平理论、“三个代表”重要思想、科学发展观，全面贯彻习近平新时代中国特色社会主义思想，深入贯彻党的二十大和二十届历次全会精神，认真学习贯彻习近平总书记对江苏、苏州工作以及对长三角一体化发展系列重要讲话重要指示精神，统筹推进“五位一体”总体布局，协调推进“四个全面”战略布局，完整准确全面贯彻新发展理念，服务构建新发展格局，坚持稳中求进工作总基调，坚持以经济建设为中心，以推动高质量发展为主题，以改革创新为根本动力，以满足人民日益增长的美好生活需要为根本目的，以全面从严治党为根本保障，统筹推动经济质的有效提升和量的合理增长、社会大局和谐稳定、全区人民共同富裕，确保基本实现社会主义现代化取得决定性进展，</w:t>
      </w:r>
      <w:r>
        <w:rPr>
          <w:rFonts w:hint="eastAsia" w:ascii="仿宋_GB2312" w:hAnsi="微软雅黑" w:eastAsia="仿宋_GB2312" w:cs="Times New Roman"/>
          <w:sz w:val="32"/>
          <w:szCs w:val="32"/>
          <w:lang w:bidi="ar"/>
        </w:rPr>
        <w:t>奋力谱写“强富美高”新江苏现代化建设吴江新篇章。</w:t>
      </w:r>
    </w:p>
    <w:p w14:paraId="1F151494">
      <w:pPr>
        <w:pStyle w:val="3"/>
        <w:keepNext w:val="0"/>
        <w:keepLines w:val="0"/>
        <w:pageBreakBefore w:val="0"/>
        <w:widowControl w:val="0"/>
        <w:kinsoku/>
        <w:wordWrap/>
        <w:overflowPunct w:val="0"/>
        <w:topLinePunct/>
        <w:autoSpaceDE/>
        <w:autoSpaceDN/>
        <w:bidi w:val="0"/>
        <w:spacing w:before="156" w:after="156" w:line="560" w:lineRule="exact"/>
        <w:jc w:val="center"/>
        <w:textAlignment w:val="auto"/>
        <w:rPr>
          <w:rFonts w:hint="default" w:ascii="Times New Roman" w:hAnsi="Times New Roman" w:eastAsia="仿宋_GB2312"/>
          <w:kern w:val="21"/>
          <w:szCs w:val="32"/>
        </w:rPr>
      </w:pPr>
      <w:bookmarkStart w:id="57" w:name="_Toc1118815666"/>
      <w:bookmarkStart w:id="58" w:name="_Toc15865"/>
      <w:bookmarkStart w:id="59" w:name="_Toc27737"/>
      <w:bookmarkStart w:id="60" w:name="_Toc3943"/>
      <w:bookmarkStart w:id="61" w:name="_Toc327495258"/>
      <w:bookmarkStart w:id="62" w:name="_Toc2931"/>
      <w:bookmarkStart w:id="63" w:name="_Toc640930528"/>
      <w:bookmarkStart w:id="64" w:name="_Toc2330"/>
      <w:bookmarkStart w:id="65" w:name="_Toc11647"/>
      <w:bookmarkStart w:id="66" w:name="_Toc1245"/>
      <w:r>
        <w:rPr>
          <w:rFonts w:ascii="楷体_GB2312" w:hAnsi="楷体_GB2312" w:eastAsia="楷体_GB2312" w:cs="楷体_GB2312"/>
          <w:kern w:val="21"/>
        </w:rPr>
        <w:t xml:space="preserve">第二节 </w:t>
      </w:r>
      <w:r>
        <w:rPr>
          <w:rFonts w:hint="eastAsia" w:ascii="楷体_GB2312" w:hAnsi="楷体_GB2312" w:eastAsia="楷体_GB2312" w:cs="楷体_GB2312"/>
          <w:kern w:val="21"/>
          <w:lang w:val="en-US" w:eastAsia="zh-CN"/>
        </w:rPr>
        <w:t xml:space="preserve"> </w:t>
      </w:r>
      <w:r>
        <w:rPr>
          <w:rFonts w:ascii="楷体_GB2312" w:hAnsi="楷体_GB2312" w:eastAsia="楷体_GB2312" w:cs="楷体_GB2312"/>
          <w:kern w:val="21"/>
        </w:rPr>
        <w:t>基本原则</w:t>
      </w:r>
      <w:bookmarkEnd w:id="57"/>
      <w:bookmarkEnd w:id="58"/>
      <w:bookmarkEnd w:id="59"/>
      <w:bookmarkEnd w:id="60"/>
      <w:bookmarkEnd w:id="61"/>
      <w:bookmarkEnd w:id="62"/>
      <w:bookmarkEnd w:id="63"/>
      <w:bookmarkEnd w:id="64"/>
      <w:bookmarkEnd w:id="65"/>
      <w:bookmarkEnd w:id="66"/>
    </w:p>
    <w:p w14:paraId="5A31DB23">
      <w:pPr>
        <w:keepNext w:val="0"/>
        <w:keepLines w:val="0"/>
        <w:pageBreakBefore w:val="0"/>
        <w:widowControl w:val="0"/>
        <w:kinsoku/>
        <w:wordWrap/>
        <w:overflowPunct w:val="0"/>
        <w:topLinePunct/>
        <w:autoSpaceDE/>
        <w:autoSpaceDN/>
        <w:bidi w:val="0"/>
        <w:spacing w:line="560" w:lineRule="exact"/>
        <w:ind w:firstLine="640" w:firstLineChars="200"/>
        <w:jc w:val="both"/>
        <w:textAlignment w:val="auto"/>
        <w:rPr>
          <w:rFonts w:hint="eastAsia" w:ascii="仿宋_GB2312" w:hAnsi="微软雅黑" w:eastAsia="仿宋_GB2312" w:cs="Times New Roman"/>
          <w:kern w:val="0"/>
          <w:sz w:val="32"/>
          <w:szCs w:val="32"/>
          <w:lang w:bidi="ar"/>
        </w:rPr>
      </w:pPr>
      <w:r>
        <w:rPr>
          <w:rFonts w:hint="eastAsia" w:ascii="Times New Roman" w:hAnsi="Times New Roman" w:eastAsia="仿宋_GB2312" w:cs="Times New Roman"/>
          <w:kern w:val="21"/>
          <w:sz w:val="32"/>
          <w:szCs w:val="32"/>
          <w:lang w:val="en-US" w:eastAsia="zh-CN"/>
        </w:rPr>
        <w:t>推动</w:t>
      </w:r>
      <w:r>
        <w:rPr>
          <w:rFonts w:hint="eastAsia" w:ascii="仿宋_GB2312" w:hAnsi="仿宋_GB2312" w:eastAsia="仿宋_GB2312" w:cs="仿宋_GB2312"/>
          <w:kern w:val="21"/>
          <w:sz w:val="32"/>
          <w:szCs w:val="32"/>
        </w:rPr>
        <w:t>“十五五</w:t>
      </w:r>
      <w:r>
        <w:rPr>
          <w:rFonts w:hint="eastAsia" w:ascii="仿宋_GB2312" w:hAnsi="仿宋_GB2312" w:eastAsia="仿宋_GB2312" w:cs="仿宋_GB2312"/>
          <w:kern w:val="21"/>
          <w:sz w:val="32"/>
          <w:szCs w:val="32"/>
          <w:lang w:eastAsia="zh-CN"/>
        </w:rPr>
        <w:t>”</w:t>
      </w:r>
      <w:r>
        <w:rPr>
          <w:rFonts w:hint="eastAsia" w:ascii="Times New Roman" w:hAnsi="Times New Roman" w:eastAsia="仿宋_GB2312" w:cs="Times New Roman"/>
          <w:kern w:val="21"/>
          <w:sz w:val="32"/>
          <w:szCs w:val="32"/>
          <w:lang w:val="en-US" w:eastAsia="zh-CN"/>
        </w:rPr>
        <w:t>发展</w:t>
      </w:r>
      <w:r>
        <w:rPr>
          <w:rFonts w:ascii="Times New Roman" w:hAnsi="Times New Roman" w:eastAsia="仿宋_GB2312" w:cs="Times New Roman"/>
          <w:kern w:val="21"/>
          <w:sz w:val="32"/>
          <w:szCs w:val="32"/>
        </w:rPr>
        <w:t>，</w:t>
      </w:r>
      <w:r>
        <w:rPr>
          <w:rFonts w:hint="eastAsia" w:ascii="仿宋_GB2312" w:hAnsi="微软雅黑" w:eastAsia="仿宋_GB2312" w:cs="Times New Roman"/>
          <w:kern w:val="0"/>
          <w:sz w:val="32"/>
          <w:szCs w:val="32"/>
          <w:lang w:bidi="ar"/>
        </w:rPr>
        <w:t>必须遵循坚持党的全面领导、坚持人民至上、坚持高质量发展、坚持全面深化改革、坚持有效市场和有为政府相结合、坚持统筹发展和安全的原则。</w:t>
      </w:r>
    </w:p>
    <w:p w14:paraId="0525FBD3">
      <w:pPr>
        <w:keepNext w:val="0"/>
        <w:keepLines w:val="0"/>
        <w:pageBreakBefore w:val="0"/>
        <w:widowControl w:val="0"/>
        <w:kinsoku/>
        <w:wordWrap/>
        <w:overflowPunct w:val="0"/>
        <w:topLinePunct/>
        <w:autoSpaceDE/>
        <w:autoSpaceDN/>
        <w:bidi w:val="0"/>
        <w:spacing w:line="560" w:lineRule="exact"/>
        <w:ind w:firstLine="640" w:firstLineChars="200"/>
        <w:jc w:val="both"/>
        <w:textAlignment w:val="auto"/>
        <w:rPr>
          <w:rFonts w:ascii="Times New Roman" w:hAnsi="Times New Roman" w:eastAsia="仿宋_GB2312" w:cs="Times New Roman"/>
          <w:kern w:val="21"/>
          <w:sz w:val="32"/>
          <w:szCs w:val="32"/>
        </w:rPr>
      </w:pPr>
      <w:r>
        <w:rPr>
          <w:rFonts w:hint="eastAsia" w:ascii="Times New Roman" w:hAnsi="Times New Roman" w:eastAsia="仿宋_GB2312" w:cs="Times New Roman"/>
          <w:kern w:val="21"/>
          <w:sz w:val="32"/>
          <w:szCs w:val="32"/>
        </w:rPr>
        <w:t>遵循</w:t>
      </w:r>
      <w:r>
        <w:rPr>
          <w:rFonts w:hint="eastAsia" w:ascii="Times New Roman" w:hAnsi="Times New Roman" w:eastAsia="仿宋_GB2312" w:cs="Times New Roman"/>
          <w:kern w:val="21"/>
          <w:sz w:val="32"/>
          <w:szCs w:val="32"/>
          <w:lang w:val="en-US" w:eastAsia="zh-CN"/>
        </w:rPr>
        <w:t>以上</w:t>
      </w:r>
      <w:r>
        <w:rPr>
          <w:rFonts w:hint="eastAsia" w:ascii="Times New Roman" w:hAnsi="Times New Roman" w:eastAsia="仿宋_GB2312" w:cs="Times New Roman"/>
          <w:kern w:val="21"/>
          <w:sz w:val="32"/>
          <w:szCs w:val="32"/>
        </w:rPr>
        <w:t>基本原则</w:t>
      </w:r>
      <w:r>
        <w:rPr>
          <w:rFonts w:hint="eastAsia" w:ascii="Times New Roman" w:hAnsi="Times New Roman" w:eastAsia="仿宋_GB2312" w:cs="Times New Roman"/>
          <w:kern w:val="21"/>
          <w:sz w:val="32"/>
          <w:szCs w:val="32"/>
          <w:lang w:eastAsia="zh-CN"/>
        </w:rPr>
        <w:t>，</w:t>
      </w:r>
      <w:r>
        <w:rPr>
          <w:rFonts w:hint="eastAsia" w:ascii="Times New Roman" w:hAnsi="Times New Roman" w:eastAsia="仿宋_GB2312" w:cs="Times New Roman"/>
          <w:kern w:val="21"/>
          <w:sz w:val="32"/>
          <w:szCs w:val="32"/>
          <w:lang w:val="en-US" w:eastAsia="zh-CN"/>
        </w:rPr>
        <w:t>充分把握吴江“十五五”经济社会发展新要求新特征新趋势，立足守正创新、行稳致远，努力巩固拓展优势、破除瓶颈制约、补强短板弱项，推动事关全区中国式现代化建设全局的战略任务取得重大突破。</w:t>
      </w:r>
    </w:p>
    <w:p w14:paraId="79164732">
      <w:pPr>
        <w:keepNext w:val="0"/>
        <w:keepLines w:val="0"/>
        <w:pageBreakBefore w:val="0"/>
        <w:widowControl w:val="0"/>
        <w:kinsoku/>
        <w:wordWrap/>
        <w:overflowPunct w:val="0"/>
        <w:topLinePunct/>
        <w:autoSpaceDE/>
        <w:autoSpaceDN/>
        <w:bidi w:val="0"/>
        <w:spacing w:line="560" w:lineRule="exact"/>
        <w:ind w:firstLine="643" w:firstLineChars="200"/>
        <w:jc w:val="both"/>
        <w:textAlignment w:val="auto"/>
        <w:rPr>
          <w:rFonts w:hint="eastAsia" w:ascii="Times New Roman" w:hAnsi="Times New Roman" w:eastAsia="仿宋_GB2312" w:cs="Times New Roman"/>
          <w:bCs w:val="0"/>
          <w:kern w:val="21"/>
          <w:sz w:val="32"/>
          <w:szCs w:val="32"/>
        </w:rPr>
      </w:pPr>
      <w:r>
        <w:rPr>
          <w:rFonts w:hint="eastAsia" w:ascii="Times New Roman" w:hAnsi="Times New Roman" w:eastAsia="仿宋_GB2312" w:cs="Times New Roman"/>
          <w:b/>
          <w:kern w:val="21"/>
          <w:sz w:val="32"/>
          <w:szCs w:val="32"/>
          <w:highlight w:val="none"/>
          <w:lang w:eastAsia="zh-CN"/>
        </w:rPr>
        <w:t>更加注重</w:t>
      </w:r>
      <w:r>
        <w:rPr>
          <w:rFonts w:hint="eastAsia" w:ascii="Times New Roman" w:hAnsi="Times New Roman" w:eastAsia="仿宋_GB2312" w:cs="Times New Roman"/>
          <w:b/>
          <w:kern w:val="21"/>
          <w:sz w:val="32"/>
          <w:szCs w:val="32"/>
          <w:highlight w:val="none"/>
        </w:rPr>
        <w:t>融入服务国家战略</w:t>
      </w:r>
      <w:r>
        <w:rPr>
          <w:rFonts w:ascii="Times New Roman" w:hAnsi="Times New Roman" w:eastAsia="仿宋_GB2312" w:cs="Times New Roman"/>
          <w:b/>
          <w:kern w:val="21"/>
          <w:sz w:val="32"/>
          <w:szCs w:val="32"/>
          <w:highlight w:val="none"/>
        </w:rPr>
        <w:t>。</w:t>
      </w:r>
      <w:r>
        <w:rPr>
          <w:rFonts w:hint="eastAsia" w:ascii="Times New Roman" w:hAnsi="Times New Roman" w:eastAsia="仿宋_GB2312" w:cs="Times New Roman"/>
          <w:b w:val="0"/>
          <w:kern w:val="21"/>
          <w:sz w:val="32"/>
          <w:szCs w:val="32"/>
          <w:highlight w:val="none"/>
          <w:lang w:eastAsia="zh-CN"/>
        </w:rPr>
        <w:t>充分发挥多重战略叠加优势，</w:t>
      </w:r>
      <w:r>
        <w:rPr>
          <w:rFonts w:hint="eastAsia" w:ascii="Times New Roman" w:hAnsi="Times New Roman" w:eastAsia="仿宋_GB2312" w:cs="Times New Roman"/>
          <w:b w:val="0"/>
          <w:kern w:val="21"/>
          <w:sz w:val="32"/>
          <w:szCs w:val="32"/>
          <w:lang w:eastAsia="zh-CN"/>
        </w:rPr>
        <w:t>在更高层次、更宽领域对接战略要素资源，健全区域协调发展体制机制，</w:t>
      </w:r>
      <w:r>
        <w:rPr>
          <w:rFonts w:hint="eastAsia" w:ascii="Times New Roman" w:hAnsi="Times New Roman" w:eastAsia="仿宋_GB2312" w:cs="Times New Roman"/>
          <w:bCs w:val="0"/>
          <w:kern w:val="21"/>
          <w:sz w:val="32"/>
          <w:szCs w:val="32"/>
          <w:lang w:val="en-US" w:eastAsia="zh-CN"/>
        </w:rPr>
        <w:t>更高水平推进长三角生态绿色</w:t>
      </w:r>
      <w:r>
        <w:rPr>
          <w:rFonts w:hint="eastAsia" w:ascii="Times New Roman" w:hAnsi="Times New Roman" w:eastAsia="仿宋_GB2312" w:cs="Times New Roman"/>
          <w:bCs w:val="0"/>
          <w:kern w:val="21"/>
          <w:sz w:val="32"/>
          <w:szCs w:val="32"/>
        </w:rPr>
        <w:t>一体化发展示范区</w:t>
      </w:r>
      <w:r>
        <w:rPr>
          <w:rFonts w:hint="eastAsia" w:ascii="Times New Roman" w:hAnsi="Times New Roman" w:eastAsia="仿宋_GB2312" w:cs="Times New Roman"/>
          <w:bCs w:val="0"/>
          <w:kern w:val="21"/>
          <w:sz w:val="32"/>
          <w:szCs w:val="32"/>
          <w:lang w:val="en-US" w:eastAsia="zh-CN"/>
        </w:rPr>
        <w:t>建设，充分展现</w:t>
      </w:r>
      <w:r>
        <w:rPr>
          <w:rFonts w:hint="eastAsia" w:ascii="Times New Roman" w:hAnsi="Times New Roman" w:eastAsia="仿宋_GB2312" w:cs="Times New Roman"/>
          <w:kern w:val="21"/>
          <w:sz w:val="32"/>
          <w:szCs w:val="32"/>
        </w:rPr>
        <w:t>“强富美高”社会主义现代化强区</w:t>
      </w:r>
      <w:r>
        <w:rPr>
          <w:rFonts w:hint="eastAsia" w:ascii="Times New Roman" w:hAnsi="Times New Roman" w:eastAsia="仿宋_GB2312" w:cs="Times New Roman"/>
          <w:kern w:val="21"/>
          <w:sz w:val="32"/>
          <w:szCs w:val="32"/>
          <w:highlight w:val="none"/>
          <w:lang w:val="en-US" w:eastAsia="zh-CN"/>
        </w:rPr>
        <w:t>新图景</w:t>
      </w:r>
      <w:r>
        <w:rPr>
          <w:rFonts w:hint="eastAsia" w:ascii="Times New Roman" w:hAnsi="Times New Roman" w:eastAsia="仿宋_GB2312" w:cs="Times New Roman"/>
          <w:bCs w:val="0"/>
          <w:kern w:val="21"/>
          <w:sz w:val="32"/>
          <w:szCs w:val="32"/>
        </w:rPr>
        <w:t>。</w:t>
      </w:r>
    </w:p>
    <w:p w14:paraId="7644D162">
      <w:pPr>
        <w:keepNext w:val="0"/>
        <w:keepLines w:val="0"/>
        <w:pageBreakBefore w:val="0"/>
        <w:widowControl w:val="0"/>
        <w:kinsoku/>
        <w:wordWrap/>
        <w:overflowPunct w:val="0"/>
        <w:topLinePunct/>
        <w:autoSpaceDE/>
        <w:autoSpaceDN/>
        <w:bidi w:val="0"/>
        <w:spacing w:line="560" w:lineRule="exact"/>
        <w:ind w:firstLine="643" w:firstLineChars="200"/>
        <w:jc w:val="both"/>
        <w:textAlignment w:val="auto"/>
        <w:rPr>
          <w:rFonts w:ascii="Times New Roman" w:hAnsi="Times New Roman" w:eastAsia="仿宋_GB2312" w:cs="Times New Roman"/>
          <w:kern w:val="21"/>
          <w:sz w:val="32"/>
          <w:szCs w:val="32"/>
          <w:highlight w:val="none"/>
        </w:rPr>
      </w:pPr>
      <w:r>
        <w:rPr>
          <w:rFonts w:hint="eastAsia" w:ascii="Times New Roman" w:hAnsi="Times New Roman" w:eastAsia="仿宋_GB2312" w:cs="Times New Roman"/>
          <w:b/>
          <w:kern w:val="21"/>
          <w:sz w:val="32"/>
          <w:szCs w:val="32"/>
          <w:highlight w:val="none"/>
          <w:lang w:eastAsia="zh-CN"/>
        </w:rPr>
        <w:t>更加注重</w:t>
      </w:r>
      <w:r>
        <w:rPr>
          <w:rFonts w:hint="eastAsia" w:ascii="Times New Roman" w:hAnsi="Times New Roman" w:eastAsia="仿宋_GB2312" w:cs="Times New Roman"/>
          <w:b/>
          <w:kern w:val="21"/>
          <w:sz w:val="32"/>
          <w:szCs w:val="32"/>
          <w:highlight w:val="none"/>
        </w:rPr>
        <w:t>持续增进民生福祉</w:t>
      </w:r>
      <w:r>
        <w:rPr>
          <w:rFonts w:ascii="Times New Roman" w:hAnsi="Times New Roman" w:eastAsia="仿宋_GB2312" w:cs="Times New Roman"/>
          <w:b/>
          <w:kern w:val="21"/>
          <w:sz w:val="32"/>
          <w:szCs w:val="32"/>
          <w:highlight w:val="none"/>
        </w:rPr>
        <w:t>。</w:t>
      </w:r>
      <w:r>
        <w:rPr>
          <w:rFonts w:ascii="Times New Roman" w:hAnsi="Times New Roman" w:eastAsia="仿宋_GB2312" w:cs="Times New Roman"/>
          <w:bCs/>
          <w:kern w:val="21"/>
          <w:sz w:val="32"/>
          <w:szCs w:val="32"/>
          <w:highlight w:val="none"/>
        </w:rPr>
        <w:t>坚持发展为了人民、发展依靠人民、发展成果由人民共享，</w:t>
      </w:r>
      <w:r>
        <w:rPr>
          <w:rFonts w:hint="eastAsia" w:ascii="Times New Roman" w:hAnsi="Times New Roman" w:eastAsia="仿宋_GB2312" w:cs="Times New Roman"/>
          <w:kern w:val="21"/>
          <w:sz w:val="32"/>
          <w:szCs w:val="32"/>
          <w:highlight w:val="none"/>
        </w:rPr>
        <w:t>促进社会公平正义，</w:t>
      </w:r>
      <w:r>
        <w:rPr>
          <w:rFonts w:hint="eastAsia" w:ascii="Times New Roman" w:hAnsi="Times New Roman" w:eastAsia="仿宋_GB2312" w:cs="Times New Roman"/>
          <w:bCs/>
          <w:kern w:val="21"/>
          <w:sz w:val="32"/>
          <w:szCs w:val="32"/>
          <w:highlight w:val="none"/>
        </w:rPr>
        <w:t>加大保障和改善民生力度，扎实推进共同富裕，</w:t>
      </w:r>
      <w:r>
        <w:rPr>
          <w:rFonts w:hint="eastAsia" w:ascii="Times New Roman" w:hAnsi="Times New Roman" w:eastAsia="仿宋_GB2312" w:cs="Times New Roman"/>
          <w:kern w:val="21"/>
          <w:sz w:val="32"/>
          <w:szCs w:val="32"/>
          <w:highlight w:val="none"/>
        </w:rPr>
        <w:t>推动经济和社会协调发展、物质文明和精神文明相得益彰，让现代化建设成果更多更公平惠及全体人民。</w:t>
      </w:r>
    </w:p>
    <w:p w14:paraId="3D7A84CA">
      <w:pPr>
        <w:keepNext w:val="0"/>
        <w:keepLines w:val="0"/>
        <w:pageBreakBefore w:val="0"/>
        <w:widowControl w:val="0"/>
        <w:kinsoku/>
        <w:wordWrap/>
        <w:overflowPunct w:val="0"/>
        <w:topLinePunct/>
        <w:autoSpaceDE/>
        <w:autoSpaceDN/>
        <w:bidi w:val="0"/>
        <w:spacing w:line="560" w:lineRule="exact"/>
        <w:ind w:firstLine="643" w:firstLineChars="200"/>
        <w:jc w:val="both"/>
        <w:textAlignment w:val="auto"/>
        <w:rPr>
          <w:rFonts w:ascii="Times New Roman" w:hAnsi="Times New Roman" w:eastAsia="仿宋_GB2312" w:cs="Times New Roman"/>
          <w:kern w:val="21"/>
          <w:sz w:val="32"/>
          <w:szCs w:val="32"/>
          <w:highlight w:val="none"/>
        </w:rPr>
      </w:pPr>
      <w:r>
        <w:rPr>
          <w:rFonts w:hint="eastAsia" w:ascii="Times New Roman" w:hAnsi="Times New Roman" w:eastAsia="仿宋_GB2312" w:cs="Times New Roman"/>
          <w:b/>
          <w:kern w:val="21"/>
          <w:sz w:val="32"/>
          <w:szCs w:val="32"/>
          <w:highlight w:val="none"/>
          <w:lang w:eastAsia="zh-CN"/>
        </w:rPr>
        <w:t>更加注重</w:t>
      </w:r>
      <w:r>
        <w:rPr>
          <w:rFonts w:ascii="Times New Roman" w:hAnsi="Times New Roman" w:eastAsia="仿宋_GB2312" w:cs="Times New Roman"/>
          <w:b/>
          <w:kern w:val="21"/>
          <w:sz w:val="32"/>
          <w:szCs w:val="32"/>
          <w:highlight w:val="none"/>
        </w:rPr>
        <w:t>增强经济发展动能。</w:t>
      </w:r>
      <w:r>
        <w:rPr>
          <w:rFonts w:ascii="Times New Roman" w:hAnsi="Times New Roman" w:eastAsia="仿宋_GB2312" w:cs="Times New Roman"/>
          <w:kern w:val="21"/>
          <w:sz w:val="32"/>
          <w:szCs w:val="32"/>
          <w:highlight w:val="none"/>
        </w:rPr>
        <w:t>充分发挥科技创新对高质量发展的支撑引领作用，构建支持全面创新体制机制，推动科技创新和产业创新融合发展，强化企业科技创新主体地位，因地制宜发展新质生产力，</w:t>
      </w:r>
      <w:r>
        <w:rPr>
          <w:rFonts w:hint="eastAsia" w:ascii="Times New Roman" w:hAnsi="Times New Roman" w:eastAsia="仿宋_GB2312" w:cs="Times New Roman"/>
          <w:kern w:val="21"/>
          <w:sz w:val="32"/>
          <w:szCs w:val="32"/>
          <w:highlight w:val="none"/>
        </w:rPr>
        <w:t>完善现代化产业体系，为中国式现代化吴江新实践提供有力支撑。</w:t>
      </w:r>
    </w:p>
    <w:p w14:paraId="158BE13E">
      <w:pPr>
        <w:keepNext w:val="0"/>
        <w:keepLines w:val="0"/>
        <w:pageBreakBefore w:val="0"/>
        <w:widowControl w:val="0"/>
        <w:kinsoku/>
        <w:wordWrap/>
        <w:overflowPunct w:val="0"/>
        <w:topLinePunct/>
        <w:autoSpaceDE/>
        <w:autoSpaceDN/>
        <w:bidi w:val="0"/>
        <w:spacing w:line="560" w:lineRule="exact"/>
        <w:ind w:firstLine="643" w:firstLineChars="200"/>
        <w:jc w:val="both"/>
        <w:textAlignment w:val="auto"/>
        <w:rPr>
          <w:rFonts w:ascii="Times New Roman" w:hAnsi="Times New Roman" w:eastAsia="仿宋_GB2312" w:cs="Times New Roman"/>
          <w:kern w:val="21"/>
          <w:sz w:val="32"/>
          <w:szCs w:val="32"/>
          <w:highlight w:val="none"/>
        </w:rPr>
      </w:pPr>
      <w:r>
        <w:rPr>
          <w:rFonts w:hint="eastAsia" w:ascii="Times New Roman" w:hAnsi="Times New Roman" w:eastAsia="仿宋_GB2312" w:cs="Times New Roman"/>
          <w:b/>
          <w:kern w:val="21"/>
          <w:sz w:val="32"/>
          <w:szCs w:val="32"/>
          <w:highlight w:val="none"/>
          <w:lang w:eastAsia="zh-CN"/>
        </w:rPr>
        <w:t>更加注重</w:t>
      </w:r>
      <w:r>
        <w:rPr>
          <w:rFonts w:hint="eastAsia" w:ascii="Times New Roman" w:hAnsi="Times New Roman" w:eastAsia="仿宋_GB2312" w:cs="Times New Roman"/>
          <w:b/>
          <w:kern w:val="21"/>
          <w:sz w:val="32"/>
          <w:szCs w:val="32"/>
          <w:highlight w:val="none"/>
        </w:rPr>
        <w:t>厚植生态人文优势。</w:t>
      </w:r>
      <w:r>
        <w:rPr>
          <w:rFonts w:hint="eastAsia" w:ascii="Times New Roman" w:hAnsi="Times New Roman" w:eastAsia="仿宋_GB2312" w:cs="Times New Roman"/>
          <w:kern w:val="21"/>
          <w:sz w:val="32"/>
          <w:szCs w:val="32"/>
          <w:highlight w:val="none"/>
        </w:rPr>
        <w:t>深入践行绿水青山就是金山银山理念，</w:t>
      </w:r>
      <w:r>
        <w:rPr>
          <w:rFonts w:ascii="Times New Roman" w:hAnsi="Times New Roman" w:eastAsia="仿宋_GB2312" w:cs="Times New Roman"/>
          <w:kern w:val="21"/>
          <w:sz w:val="32"/>
          <w:szCs w:val="32"/>
          <w:highlight w:val="none"/>
        </w:rPr>
        <w:t>全面推进降碳减污扩绿增长，大力倡导绿色低碳</w:t>
      </w:r>
      <w:r>
        <w:rPr>
          <w:rFonts w:hint="eastAsia" w:ascii="Times New Roman" w:hAnsi="Times New Roman" w:eastAsia="仿宋_GB2312" w:cs="Times New Roman"/>
          <w:kern w:val="21"/>
          <w:sz w:val="32"/>
          <w:szCs w:val="32"/>
          <w:highlight w:val="none"/>
        </w:rPr>
        <w:t>生产</w:t>
      </w:r>
      <w:r>
        <w:rPr>
          <w:rFonts w:ascii="Times New Roman" w:hAnsi="Times New Roman" w:eastAsia="仿宋_GB2312" w:cs="Times New Roman"/>
          <w:kern w:val="21"/>
          <w:sz w:val="32"/>
          <w:szCs w:val="32"/>
          <w:highlight w:val="none"/>
        </w:rPr>
        <w:t>生活方式，</w:t>
      </w:r>
      <w:r>
        <w:rPr>
          <w:rFonts w:hint="eastAsia" w:ascii="Times New Roman" w:hAnsi="Times New Roman" w:eastAsia="仿宋_GB2312" w:cs="Times New Roman"/>
          <w:kern w:val="21"/>
          <w:sz w:val="32"/>
          <w:szCs w:val="32"/>
          <w:highlight w:val="none"/>
        </w:rPr>
        <w:t>推进</w:t>
      </w:r>
      <w:r>
        <w:rPr>
          <w:rFonts w:ascii="Times New Roman" w:hAnsi="Times New Roman" w:eastAsia="仿宋_GB2312" w:cs="Times New Roman"/>
          <w:kern w:val="21"/>
          <w:sz w:val="32"/>
          <w:szCs w:val="32"/>
          <w:highlight w:val="none"/>
        </w:rPr>
        <w:t>空间重构、资源重组、品质重塑</w:t>
      </w:r>
      <w:r>
        <w:rPr>
          <w:rFonts w:hint="eastAsia" w:ascii="Times New Roman" w:hAnsi="Times New Roman" w:eastAsia="仿宋_GB2312" w:cs="Times New Roman"/>
          <w:kern w:val="21"/>
          <w:sz w:val="32"/>
          <w:szCs w:val="32"/>
          <w:highlight w:val="none"/>
        </w:rPr>
        <w:t>，将生态优势和人文优势转化为经济社会发展优势，</w:t>
      </w:r>
      <w:r>
        <w:rPr>
          <w:rFonts w:ascii="Times New Roman" w:hAnsi="Times New Roman" w:eastAsia="仿宋_GB2312" w:cs="Times New Roman"/>
          <w:kern w:val="21"/>
          <w:sz w:val="32"/>
          <w:szCs w:val="32"/>
          <w:highlight w:val="none"/>
        </w:rPr>
        <w:t>推动</w:t>
      </w:r>
      <w:r>
        <w:rPr>
          <w:rFonts w:hint="eastAsia" w:ascii="Times New Roman" w:hAnsi="Times New Roman" w:eastAsia="仿宋_GB2312" w:cs="Times New Roman"/>
          <w:kern w:val="21"/>
          <w:sz w:val="32"/>
          <w:szCs w:val="32"/>
          <w:highlight w:val="none"/>
        </w:rPr>
        <w:t>全面</w:t>
      </w:r>
      <w:r>
        <w:rPr>
          <w:rFonts w:ascii="Times New Roman" w:hAnsi="Times New Roman" w:eastAsia="仿宋_GB2312" w:cs="Times New Roman"/>
          <w:kern w:val="21"/>
          <w:sz w:val="32"/>
          <w:szCs w:val="32"/>
          <w:highlight w:val="none"/>
        </w:rPr>
        <w:t>绿色转型</w:t>
      </w:r>
      <w:r>
        <w:rPr>
          <w:rFonts w:hint="eastAsia" w:ascii="Times New Roman" w:hAnsi="Times New Roman" w:eastAsia="仿宋_GB2312" w:cs="Times New Roman"/>
          <w:kern w:val="21"/>
          <w:sz w:val="32"/>
          <w:szCs w:val="32"/>
          <w:highlight w:val="none"/>
        </w:rPr>
        <w:t>，打造人与自然和谐宜居新典范。</w:t>
      </w:r>
    </w:p>
    <w:p w14:paraId="5AF016AC">
      <w:pPr>
        <w:keepNext w:val="0"/>
        <w:keepLines w:val="0"/>
        <w:pageBreakBefore w:val="0"/>
        <w:widowControl w:val="0"/>
        <w:kinsoku/>
        <w:wordWrap/>
        <w:overflowPunct w:val="0"/>
        <w:topLinePunct/>
        <w:autoSpaceDE/>
        <w:autoSpaceDN/>
        <w:bidi w:val="0"/>
        <w:spacing w:line="560" w:lineRule="exact"/>
        <w:ind w:firstLine="643" w:firstLineChars="200"/>
        <w:jc w:val="both"/>
        <w:textAlignment w:val="auto"/>
        <w:rPr>
          <w:rFonts w:ascii="Times New Roman" w:hAnsi="Times New Roman" w:eastAsia="仿宋_GB2312" w:cs="Times New Roman"/>
          <w:kern w:val="21"/>
          <w:sz w:val="32"/>
          <w:szCs w:val="32"/>
          <w:highlight w:val="none"/>
        </w:rPr>
      </w:pPr>
      <w:r>
        <w:rPr>
          <w:rFonts w:hint="eastAsia" w:ascii="Times New Roman" w:hAnsi="Times New Roman" w:eastAsia="仿宋_GB2312" w:cs="Times New Roman"/>
          <w:b/>
          <w:kern w:val="21"/>
          <w:sz w:val="32"/>
          <w:szCs w:val="32"/>
          <w:highlight w:val="none"/>
          <w:lang w:eastAsia="zh-CN"/>
        </w:rPr>
        <w:t>更加注重</w:t>
      </w:r>
      <w:r>
        <w:rPr>
          <w:rFonts w:ascii="Times New Roman" w:hAnsi="Times New Roman" w:eastAsia="仿宋_GB2312" w:cs="Times New Roman"/>
          <w:b/>
          <w:kern w:val="21"/>
          <w:sz w:val="32"/>
          <w:szCs w:val="32"/>
          <w:highlight w:val="none"/>
        </w:rPr>
        <w:t>激发</w:t>
      </w:r>
      <w:r>
        <w:rPr>
          <w:rFonts w:hint="eastAsia" w:ascii="Times New Roman" w:hAnsi="Times New Roman" w:eastAsia="仿宋_GB2312" w:cs="Times New Roman"/>
          <w:b/>
          <w:kern w:val="21"/>
          <w:sz w:val="32"/>
          <w:szCs w:val="32"/>
          <w:highlight w:val="none"/>
        </w:rPr>
        <w:t>区域</w:t>
      </w:r>
      <w:r>
        <w:rPr>
          <w:rFonts w:ascii="Times New Roman" w:hAnsi="Times New Roman" w:eastAsia="仿宋_GB2312" w:cs="Times New Roman"/>
          <w:b/>
          <w:kern w:val="21"/>
          <w:sz w:val="32"/>
          <w:szCs w:val="32"/>
          <w:highlight w:val="none"/>
        </w:rPr>
        <w:t>发展活力。</w:t>
      </w:r>
      <w:r>
        <w:rPr>
          <w:rFonts w:hint="eastAsia" w:ascii="Times New Roman" w:hAnsi="Times New Roman" w:eastAsia="仿宋_GB2312" w:cs="Times New Roman"/>
          <w:kern w:val="21"/>
          <w:sz w:val="32"/>
          <w:szCs w:val="32"/>
          <w:highlight w:val="none"/>
        </w:rPr>
        <w:t>更好发挥一体化制度创新“试验田”作用，服务融入国内国际双循环。充分发挥市场在资源配置中的决定性作用，更好发挥政府作用。打造市场化、法治化、国际化一流营商环境，</w:t>
      </w:r>
      <w:r>
        <w:rPr>
          <w:rFonts w:hint="eastAsia" w:ascii="Times New Roman" w:hAnsi="Times New Roman" w:eastAsia="仿宋_GB2312" w:cs="Times New Roman"/>
          <w:kern w:val="21"/>
          <w:sz w:val="32"/>
          <w:szCs w:val="32"/>
          <w:highlight w:val="none"/>
          <w:lang w:val="en-US" w:eastAsia="zh-CN"/>
        </w:rPr>
        <w:t>融入</w:t>
      </w:r>
      <w:r>
        <w:rPr>
          <w:rFonts w:hint="eastAsia" w:ascii="Times New Roman" w:hAnsi="Times New Roman" w:eastAsia="仿宋_GB2312" w:cs="Times New Roman"/>
          <w:kern w:val="21"/>
          <w:sz w:val="32"/>
          <w:szCs w:val="32"/>
          <w:highlight w:val="none"/>
        </w:rPr>
        <w:t>构建统一、开放、竞争、有序的市场体系，为</w:t>
      </w:r>
      <w:r>
        <w:rPr>
          <w:rFonts w:hint="eastAsia" w:ascii="Times New Roman" w:hAnsi="Times New Roman" w:eastAsia="仿宋_GB2312" w:cs="Times New Roman"/>
          <w:kern w:val="21"/>
          <w:sz w:val="32"/>
          <w:szCs w:val="32"/>
          <w:highlight w:val="none"/>
          <w:lang w:val="en-US" w:eastAsia="zh-CN"/>
        </w:rPr>
        <w:t>服务</w:t>
      </w:r>
      <w:r>
        <w:rPr>
          <w:rFonts w:hint="eastAsia" w:ascii="Times New Roman" w:hAnsi="Times New Roman" w:eastAsia="仿宋_GB2312" w:cs="Times New Roman"/>
          <w:kern w:val="21"/>
          <w:sz w:val="32"/>
          <w:szCs w:val="32"/>
          <w:highlight w:val="none"/>
        </w:rPr>
        <w:t>全国经济建设一盘棋和统一大市场建设探索路径。</w:t>
      </w:r>
    </w:p>
    <w:p w14:paraId="1EBAE396">
      <w:pPr>
        <w:keepNext w:val="0"/>
        <w:keepLines w:val="0"/>
        <w:pageBreakBefore w:val="0"/>
        <w:widowControl w:val="0"/>
        <w:kinsoku/>
        <w:wordWrap/>
        <w:overflowPunct w:val="0"/>
        <w:topLinePunct/>
        <w:autoSpaceDE/>
        <w:autoSpaceDN/>
        <w:bidi w:val="0"/>
        <w:spacing w:line="560" w:lineRule="exact"/>
        <w:ind w:firstLine="643" w:firstLineChars="200"/>
        <w:jc w:val="both"/>
        <w:textAlignment w:val="auto"/>
        <w:rPr>
          <w:rFonts w:hint="eastAsia" w:ascii="Times New Roman" w:hAnsi="Times New Roman" w:eastAsia="仿宋_GB2312" w:cs="Times New Roman"/>
          <w:bCs/>
          <w:kern w:val="21"/>
          <w:sz w:val="32"/>
          <w:szCs w:val="32"/>
        </w:rPr>
      </w:pPr>
      <w:r>
        <w:rPr>
          <w:rFonts w:hint="eastAsia" w:ascii="Times New Roman" w:hAnsi="Times New Roman" w:eastAsia="仿宋_GB2312" w:cs="Times New Roman"/>
          <w:b/>
          <w:kern w:val="21"/>
          <w:sz w:val="32"/>
          <w:szCs w:val="32"/>
          <w:highlight w:val="none"/>
          <w:lang w:eastAsia="zh-CN"/>
        </w:rPr>
        <w:t>更加注重</w:t>
      </w:r>
      <w:r>
        <w:rPr>
          <w:rFonts w:hint="eastAsia" w:ascii="Times New Roman" w:hAnsi="Times New Roman" w:eastAsia="仿宋_GB2312" w:cs="Times New Roman"/>
          <w:b/>
          <w:kern w:val="21"/>
          <w:sz w:val="32"/>
          <w:szCs w:val="32"/>
          <w:highlight w:val="none"/>
          <w:lang w:val="en-US" w:eastAsia="zh-CN"/>
        </w:rPr>
        <w:t>统筹发展安全稳定</w:t>
      </w:r>
      <w:r>
        <w:rPr>
          <w:rFonts w:hint="eastAsia" w:ascii="Times New Roman" w:hAnsi="Times New Roman" w:eastAsia="仿宋_GB2312" w:cs="Times New Roman"/>
          <w:b/>
          <w:kern w:val="21"/>
          <w:sz w:val="32"/>
          <w:szCs w:val="32"/>
          <w:highlight w:val="none"/>
        </w:rPr>
        <w:t>。</w:t>
      </w:r>
      <w:r>
        <w:rPr>
          <w:rFonts w:ascii="Times New Roman" w:hAnsi="Times New Roman" w:eastAsia="仿宋_GB2312" w:cs="Times New Roman"/>
          <w:bCs/>
          <w:kern w:val="21"/>
          <w:sz w:val="32"/>
          <w:szCs w:val="32"/>
          <w:highlight w:val="none"/>
        </w:rPr>
        <w:t>在发展中固安全，在安全中谋发展，强</w:t>
      </w:r>
      <w:r>
        <w:rPr>
          <w:rFonts w:ascii="Times New Roman" w:hAnsi="Times New Roman" w:eastAsia="仿宋_GB2312" w:cs="Times New Roman"/>
          <w:bCs/>
          <w:kern w:val="21"/>
          <w:sz w:val="32"/>
          <w:szCs w:val="32"/>
        </w:rPr>
        <w:t>化底线思维，有效防范化解各类风险，</w:t>
      </w:r>
      <w:r>
        <w:rPr>
          <w:rFonts w:hint="eastAsia" w:ascii="Times New Roman" w:hAnsi="Times New Roman" w:eastAsia="仿宋_GB2312" w:cs="Times New Roman"/>
          <w:bCs/>
          <w:kern w:val="21"/>
          <w:sz w:val="32"/>
          <w:szCs w:val="32"/>
          <w:lang w:eastAsia="zh-CN"/>
        </w:rPr>
        <w:t>系统提升本质安全水平，</w:t>
      </w:r>
      <w:r>
        <w:rPr>
          <w:rFonts w:ascii="Times New Roman" w:hAnsi="Times New Roman" w:eastAsia="仿宋_GB2312" w:cs="Times New Roman"/>
          <w:bCs/>
          <w:kern w:val="21"/>
          <w:sz w:val="32"/>
          <w:szCs w:val="32"/>
        </w:rPr>
        <w:t>提高公共安全治理水平</w:t>
      </w:r>
      <w:r>
        <w:rPr>
          <w:rFonts w:hint="eastAsia" w:ascii="Times New Roman" w:hAnsi="Times New Roman" w:eastAsia="仿宋_GB2312" w:cs="Times New Roman"/>
          <w:bCs/>
          <w:kern w:val="21"/>
          <w:sz w:val="32"/>
          <w:szCs w:val="32"/>
        </w:rPr>
        <w:t>，</w:t>
      </w:r>
      <w:r>
        <w:rPr>
          <w:rFonts w:hint="eastAsia" w:ascii="Times New Roman" w:hAnsi="Times New Roman" w:eastAsia="仿宋_GB2312" w:cs="Times New Roman"/>
          <w:bCs/>
          <w:kern w:val="21"/>
          <w:sz w:val="32"/>
          <w:szCs w:val="32"/>
          <w:lang w:eastAsia="zh-CN"/>
        </w:rPr>
        <w:t>增强社会治理总体效能，高水平推进</w:t>
      </w:r>
      <w:r>
        <w:rPr>
          <w:rFonts w:hint="eastAsia" w:ascii="Times New Roman" w:hAnsi="Times New Roman" w:eastAsia="仿宋_GB2312" w:cs="Times New Roman"/>
          <w:bCs/>
          <w:kern w:val="21"/>
          <w:sz w:val="32"/>
          <w:szCs w:val="32"/>
        </w:rPr>
        <w:t>平安吴江</w:t>
      </w:r>
      <w:r>
        <w:rPr>
          <w:rFonts w:hint="eastAsia" w:ascii="Times New Roman" w:hAnsi="Times New Roman" w:eastAsia="仿宋_GB2312" w:cs="Times New Roman"/>
          <w:bCs/>
          <w:kern w:val="21"/>
          <w:sz w:val="32"/>
          <w:szCs w:val="32"/>
          <w:lang w:eastAsia="zh-CN"/>
        </w:rPr>
        <w:t>、法治吴江</w:t>
      </w:r>
      <w:r>
        <w:rPr>
          <w:rFonts w:hint="eastAsia" w:ascii="Times New Roman" w:hAnsi="Times New Roman" w:eastAsia="仿宋_GB2312" w:cs="Times New Roman"/>
          <w:bCs/>
          <w:kern w:val="21"/>
          <w:sz w:val="32"/>
          <w:szCs w:val="32"/>
        </w:rPr>
        <w:t>建设，</w:t>
      </w:r>
      <w:r>
        <w:rPr>
          <w:rFonts w:ascii="Times New Roman" w:hAnsi="Times New Roman" w:eastAsia="仿宋_GB2312" w:cs="Times New Roman"/>
          <w:bCs/>
          <w:kern w:val="21"/>
          <w:sz w:val="32"/>
          <w:szCs w:val="32"/>
        </w:rPr>
        <w:t>以新安全格局保障新发展格局</w:t>
      </w:r>
      <w:r>
        <w:rPr>
          <w:rFonts w:hint="eastAsia" w:ascii="Times New Roman" w:hAnsi="Times New Roman" w:eastAsia="仿宋_GB2312" w:cs="Times New Roman"/>
          <w:bCs/>
          <w:kern w:val="21"/>
          <w:sz w:val="32"/>
          <w:szCs w:val="32"/>
        </w:rPr>
        <w:t>。</w:t>
      </w:r>
    </w:p>
    <w:p w14:paraId="37F38C30">
      <w:pPr>
        <w:pStyle w:val="3"/>
        <w:keepNext w:val="0"/>
        <w:keepLines w:val="0"/>
        <w:pageBreakBefore w:val="0"/>
        <w:widowControl w:val="0"/>
        <w:kinsoku/>
        <w:wordWrap/>
        <w:overflowPunct w:val="0"/>
        <w:topLinePunct/>
        <w:autoSpaceDE/>
        <w:autoSpaceDN/>
        <w:bidi w:val="0"/>
        <w:spacing w:before="156" w:after="156" w:line="560" w:lineRule="exact"/>
        <w:jc w:val="center"/>
        <w:textAlignment w:val="auto"/>
        <w:rPr>
          <w:rFonts w:ascii="楷体_GB2312" w:hAnsi="楷体_GB2312" w:eastAsia="楷体_GB2312" w:cs="楷体_GB2312"/>
          <w:kern w:val="21"/>
        </w:rPr>
      </w:pPr>
      <w:bookmarkStart w:id="67" w:name="_Toc16718"/>
      <w:bookmarkStart w:id="68" w:name="_Toc636992065"/>
      <w:bookmarkStart w:id="69" w:name="_Toc26272"/>
      <w:bookmarkStart w:id="70" w:name="_Toc15538"/>
      <w:bookmarkStart w:id="71" w:name="_Toc3022"/>
      <w:bookmarkStart w:id="72" w:name="_Toc1152433123"/>
      <w:bookmarkStart w:id="73" w:name="_Toc5669"/>
      <w:bookmarkStart w:id="74" w:name="_Toc23410"/>
      <w:bookmarkStart w:id="75" w:name="_Toc225652757"/>
      <w:bookmarkStart w:id="76" w:name="_Toc27021"/>
      <w:r>
        <w:rPr>
          <w:rFonts w:ascii="楷体_GB2312" w:hAnsi="楷体_GB2312" w:eastAsia="楷体_GB2312" w:cs="楷体_GB2312"/>
          <w:kern w:val="21"/>
        </w:rPr>
        <w:t xml:space="preserve">第三节 </w:t>
      </w:r>
      <w:r>
        <w:rPr>
          <w:rFonts w:hint="eastAsia" w:ascii="楷体_GB2312" w:hAnsi="楷体_GB2312" w:eastAsia="楷体_GB2312" w:cs="楷体_GB2312"/>
          <w:kern w:val="21"/>
          <w:lang w:val="en-US" w:eastAsia="zh-CN"/>
        </w:rPr>
        <w:t xml:space="preserve"> </w:t>
      </w:r>
      <w:r>
        <w:rPr>
          <w:rFonts w:ascii="楷体_GB2312" w:hAnsi="楷体_GB2312" w:eastAsia="楷体_GB2312" w:cs="楷体_GB2312"/>
          <w:kern w:val="21"/>
        </w:rPr>
        <w:t>总体要求和主要目标</w:t>
      </w:r>
      <w:bookmarkEnd w:id="67"/>
      <w:bookmarkEnd w:id="68"/>
      <w:bookmarkEnd w:id="69"/>
      <w:bookmarkEnd w:id="70"/>
      <w:bookmarkEnd w:id="71"/>
      <w:bookmarkEnd w:id="72"/>
      <w:bookmarkEnd w:id="73"/>
      <w:bookmarkEnd w:id="74"/>
      <w:bookmarkEnd w:id="75"/>
      <w:bookmarkEnd w:id="76"/>
    </w:p>
    <w:p w14:paraId="16A1A13B">
      <w:pPr>
        <w:keepNext w:val="0"/>
        <w:keepLines w:val="0"/>
        <w:pageBreakBefore w:val="0"/>
        <w:widowControl w:val="0"/>
        <w:kinsoku/>
        <w:wordWrap/>
        <w:overflowPunct w:val="0"/>
        <w:topLinePunct/>
        <w:autoSpaceDE/>
        <w:autoSpaceDN/>
        <w:bidi w:val="0"/>
        <w:spacing w:line="560" w:lineRule="exact"/>
        <w:ind w:firstLine="640" w:firstLineChars="200"/>
        <w:jc w:val="both"/>
        <w:textAlignment w:val="auto"/>
        <w:rPr>
          <w:rFonts w:hint="eastAsia" w:ascii="仿宋_GB2312" w:hAnsi="微软雅黑" w:eastAsia="仿宋_GB2312" w:cs="Times New Roman"/>
          <w:kern w:val="21"/>
          <w:sz w:val="32"/>
          <w:szCs w:val="32"/>
          <w:lang w:bidi="ar"/>
        </w:rPr>
      </w:pPr>
      <w:r>
        <w:rPr>
          <w:rFonts w:hint="eastAsia" w:ascii="仿宋_GB2312" w:hAnsi="微软雅黑" w:eastAsia="仿宋_GB2312" w:cs="Times New Roman"/>
          <w:kern w:val="0"/>
          <w:sz w:val="32"/>
          <w:szCs w:val="32"/>
          <w:lang w:bidi="ar"/>
        </w:rPr>
        <w:t>坚持把深入学习贯彻习近平总书记对江苏、苏州工作以及对长三角一体化发展重要讲话重要指示精神作为贯穿全部工作的主线</w:t>
      </w:r>
      <w:r>
        <w:rPr>
          <w:rFonts w:hint="eastAsia" w:ascii="仿宋_GB2312" w:hAnsi="微软雅黑" w:eastAsia="仿宋_GB2312" w:cs="Times New Roman"/>
          <w:kern w:val="0"/>
          <w:sz w:val="32"/>
          <w:szCs w:val="32"/>
          <w:lang w:eastAsia="zh-CN" w:bidi="ar"/>
        </w:rPr>
        <w:t>，</w:t>
      </w:r>
      <w:r>
        <w:rPr>
          <w:rFonts w:hint="eastAsia" w:ascii="仿宋_GB2312" w:hAnsi="微软雅黑" w:eastAsia="仿宋_GB2312" w:cs="Times New Roman"/>
          <w:kern w:val="0"/>
          <w:sz w:val="32"/>
          <w:szCs w:val="32"/>
          <w:lang w:bidi="ar"/>
        </w:rPr>
        <w:t>牢牢把握“在推进中国式现代化中走在前、做示范”这一战略定位，牢牢把握“争当表率、争做示范、走在前列”这一</w:t>
      </w:r>
      <w:r>
        <w:rPr>
          <w:rFonts w:hint="eastAsia" w:ascii="仿宋_GB2312" w:hAnsi="微软雅黑" w:eastAsia="仿宋_GB2312" w:cs="Times New Roman"/>
          <w:kern w:val="0"/>
          <w:sz w:val="32"/>
          <w:szCs w:val="32"/>
          <w:lang w:val="en-US" w:eastAsia="zh-CN" w:bidi="ar"/>
        </w:rPr>
        <w:t>总体</w:t>
      </w:r>
      <w:r>
        <w:rPr>
          <w:rFonts w:hint="eastAsia" w:ascii="仿宋_GB2312" w:hAnsi="微软雅黑" w:eastAsia="仿宋_GB2312" w:cs="Times New Roman"/>
          <w:kern w:val="0"/>
          <w:sz w:val="32"/>
          <w:szCs w:val="32"/>
          <w:lang w:bidi="ar"/>
        </w:rPr>
        <w:t>要求，牢牢把握“强富美高”新江苏</w:t>
      </w:r>
      <w:r>
        <w:rPr>
          <w:rFonts w:hint="eastAsia" w:ascii="仿宋_GB2312" w:hAnsi="微软雅黑" w:eastAsia="仿宋_GB2312" w:cs="Times New Roman"/>
          <w:kern w:val="0"/>
          <w:sz w:val="32"/>
          <w:szCs w:val="32"/>
          <w:lang w:val="en-US" w:eastAsia="zh-CN" w:bidi="ar"/>
        </w:rPr>
        <w:t>建设</w:t>
      </w:r>
      <w:r>
        <w:rPr>
          <w:rFonts w:hint="eastAsia" w:ascii="仿宋_GB2312" w:hAnsi="微软雅黑" w:eastAsia="仿宋_GB2312" w:cs="Times New Roman"/>
          <w:kern w:val="0"/>
          <w:sz w:val="32"/>
          <w:szCs w:val="32"/>
          <w:lang w:bidi="ar"/>
        </w:rPr>
        <w:t>这一宏伟蓝图，稳扎稳打落实好“四个走在前”“四个新”“4+1”“四个着力点”等重大任务，聚焦高科技创新和高质量发展、历史文化传承两个重点，将“勾画现代化目标”“代表未来的发展方向”的殷切期望转化为吴江的生动实践，积极服务“人间天堂、福气苏州”打造，以实干实绩服务全省全市挑大梁，建设更高水平“乐居吴江”。</w:t>
      </w:r>
    </w:p>
    <w:p w14:paraId="7CF3BBA5">
      <w:pPr>
        <w:keepNext w:val="0"/>
        <w:keepLines w:val="0"/>
        <w:pageBreakBefore w:val="0"/>
        <w:widowControl w:val="0"/>
        <w:kinsoku/>
        <w:wordWrap/>
        <w:overflowPunct w:val="0"/>
        <w:topLinePunct/>
        <w:autoSpaceDE/>
        <w:autoSpaceDN/>
        <w:bidi w:val="0"/>
        <w:spacing w:line="560" w:lineRule="exact"/>
        <w:ind w:firstLine="640" w:firstLineChars="200"/>
        <w:jc w:val="both"/>
        <w:textAlignment w:val="auto"/>
        <w:rPr>
          <w:rFonts w:hint="eastAsia" w:ascii="黑体" w:hAnsi="黑体" w:eastAsia="黑体" w:cs="黑体"/>
          <w:kern w:val="21"/>
          <w:sz w:val="32"/>
          <w:szCs w:val="32"/>
        </w:rPr>
      </w:pPr>
      <w:r>
        <w:rPr>
          <w:rFonts w:hint="eastAsia" w:ascii="黑体" w:hAnsi="黑体" w:eastAsia="黑体" w:cs="黑体"/>
          <w:kern w:val="21"/>
          <w:sz w:val="32"/>
          <w:szCs w:val="32"/>
        </w:rPr>
        <w:t>今后五年，努力推动经济社会发展实现</w:t>
      </w:r>
      <w:r>
        <w:rPr>
          <w:rFonts w:hint="eastAsia" w:ascii="黑体" w:hAnsi="黑体" w:eastAsia="黑体" w:cs="黑体"/>
          <w:kern w:val="21"/>
          <w:sz w:val="32"/>
          <w:szCs w:val="32"/>
          <w:lang w:bidi="ar"/>
        </w:rPr>
        <w:t>八个迈上新台阶：</w:t>
      </w:r>
    </w:p>
    <w:p w14:paraId="693E5705">
      <w:pPr>
        <w:pStyle w:val="41"/>
        <w:keepNext w:val="0"/>
        <w:keepLines w:val="0"/>
        <w:pageBreakBefore w:val="0"/>
        <w:widowControl w:val="0"/>
        <w:kinsoku/>
        <w:wordWrap/>
        <w:overflowPunct w:val="0"/>
        <w:topLinePunct/>
        <w:autoSpaceDE/>
        <w:autoSpaceDN/>
        <w:bidi w:val="0"/>
        <w:spacing w:line="560" w:lineRule="exact"/>
        <w:ind w:firstLine="626" w:firstLineChars="195"/>
        <w:jc w:val="both"/>
        <w:textAlignment w:val="auto"/>
        <w:rPr>
          <w:rFonts w:hint="eastAsia" w:ascii="仿宋_GB2312" w:hAnsi="微软雅黑" w:eastAsia="仿宋_GB2312"/>
          <w:sz w:val="32"/>
          <w:szCs w:val="32"/>
        </w:rPr>
      </w:pPr>
      <w:r>
        <w:rPr>
          <w:rFonts w:hint="eastAsia" w:ascii="仿宋_GB2312" w:hAnsi="微软雅黑" w:eastAsia="仿宋_GB2312" w:cs="Times New Roman"/>
          <w:b/>
          <w:bCs/>
          <w:sz w:val="32"/>
          <w:szCs w:val="32"/>
          <w:lang w:bidi="ar"/>
        </w:rPr>
        <w:t>突出质效提升，</w:t>
      </w:r>
      <w:r>
        <w:rPr>
          <w:rFonts w:hint="eastAsia" w:eastAsia="仿宋_GB2312"/>
          <w:b/>
          <w:bCs/>
          <w:snapToGrid w:val="0"/>
          <w:sz w:val="32"/>
          <w:szCs w:val="32"/>
          <w:shd w:val="clear" w:color="auto" w:fill="FFFFFF"/>
        </w:rPr>
        <w:t>推动高质量发展迈上新台阶。</w:t>
      </w:r>
      <w:r>
        <w:rPr>
          <w:rFonts w:hint="eastAsia" w:ascii="仿宋_GB2312" w:hAnsi="微软雅黑" w:eastAsia="仿宋_GB2312"/>
          <w:sz w:val="32"/>
          <w:szCs w:val="32"/>
          <w:lang w:bidi="ar"/>
        </w:rPr>
        <w:t>经济增长保持在合理区间</w:t>
      </w:r>
      <w:r>
        <w:rPr>
          <w:rFonts w:hint="eastAsia" w:ascii="仿宋_GB2312" w:hAnsi="微软雅黑" w:eastAsia="仿宋_GB2312" w:cs="Times New Roman"/>
          <w:sz w:val="32"/>
          <w:szCs w:val="32"/>
          <w:lang w:bidi="ar"/>
        </w:rPr>
        <w:t>，新型工业化、信息化、城镇化、农业现代化率先基本实现，民营经济特色优势进一步彰显，以</w:t>
      </w:r>
      <w:r>
        <w:rPr>
          <w:rFonts w:hint="eastAsia" w:ascii="仿宋_GB2312" w:hAnsi="微软雅黑" w:eastAsia="仿宋_GB2312"/>
          <w:sz w:val="32"/>
          <w:szCs w:val="32"/>
          <w:lang w:bidi="ar"/>
        </w:rPr>
        <w:t>人工智能赋能发展成效明显，</w:t>
      </w:r>
      <w:r>
        <w:rPr>
          <w:rFonts w:hint="eastAsia" w:ascii="仿宋_GB2312" w:hAnsi="微软雅黑" w:eastAsia="仿宋_GB2312" w:cs="Times New Roman"/>
          <w:sz w:val="32"/>
          <w:szCs w:val="32"/>
          <w:lang w:bidi="ar"/>
        </w:rPr>
        <w:t>经</w:t>
      </w:r>
      <w:r>
        <w:rPr>
          <w:rFonts w:hint="eastAsia" w:ascii="仿宋_GB2312" w:hAnsi="微软雅黑" w:eastAsia="仿宋_GB2312"/>
          <w:sz w:val="32"/>
          <w:szCs w:val="32"/>
          <w:lang w:bidi="ar"/>
        </w:rPr>
        <w:t>济增长潜力得到充分</w:t>
      </w:r>
      <w:r>
        <w:rPr>
          <w:rFonts w:hint="eastAsia" w:ascii="仿宋_GB2312" w:hAnsi="微软雅黑" w:eastAsia="仿宋_GB2312"/>
          <w:sz w:val="32"/>
          <w:szCs w:val="32"/>
        </w:rPr>
        <w:t>释放，对苏州发展大局的服务支撑作用更加彰显。</w:t>
      </w:r>
    </w:p>
    <w:p w14:paraId="227BCC21">
      <w:pPr>
        <w:pStyle w:val="41"/>
        <w:keepNext w:val="0"/>
        <w:keepLines w:val="0"/>
        <w:pageBreakBefore w:val="0"/>
        <w:widowControl w:val="0"/>
        <w:kinsoku/>
        <w:wordWrap/>
        <w:overflowPunct w:val="0"/>
        <w:topLinePunct/>
        <w:autoSpaceDE/>
        <w:autoSpaceDN/>
        <w:bidi w:val="0"/>
        <w:spacing w:line="560" w:lineRule="exact"/>
        <w:ind w:firstLine="626" w:firstLineChars="195"/>
        <w:jc w:val="both"/>
        <w:textAlignment w:val="auto"/>
        <w:rPr>
          <w:rFonts w:hint="eastAsia" w:ascii="仿宋_GB2312" w:hAnsi="微软雅黑" w:eastAsia="仿宋_GB2312" w:cs="Times New Roman"/>
          <w:sz w:val="32"/>
          <w:szCs w:val="32"/>
          <w:lang w:bidi="ar"/>
        </w:rPr>
      </w:pPr>
      <w:r>
        <w:rPr>
          <w:rFonts w:hint="eastAsia" w:eastAsia="仿宋_GB2312"/>
          <w:b/>
          <w:bCs/>
          <w:snapToGrid w:val="0"/>
          <w:sz w:val="32"/>
          <w:szCs w:val="32"/>
          <w:shd w:val="clear" w:color="auto" w:fill="FFFFFF"/>
        </w:rPr>
        <w:t>突出体系构建，推动科技创新和产业创新融合迈上新台阶。</w:t>
      </w:r>
      <w:r>
        <w:rPr>
          <w:rFonts w:hint="eastAsia" w:ascii="仿宋_GB2312" w:hAnsi="微软雅黑" w:eastAsia="仿宋_GB2312" w:cs="Times New Roman"/>
          <w:sz w:val="32"/>
          <w:szCs w:val="32"/>
          <w:lang w:bidi="ar"/>
        </w:rPr>
        <w:t>企业科技创新主体地位得到强化，关键核心技术攻关能力提升，教育科技人才一体发展格局基本形成，</w:t>
      </w:r>
      <w:r>
        <w:rPr>
          <w:rFonts w:hint="eastAsia" w:ascii="仿宋_GB2312" w:hAnsi="仿宋_GB2312" w:eastAsia="仿宋_GB2312" w:cs="仿宋_GB2312"/>
          <w:color w:val="000000"/>
          <w:sz w:val="32"/>
          <w:szCs w:val="32"/>
        </w:rPr>
        <w:t>创新生态更加优化，科技成果高效转化应用水平不断提高，科创的</w:t>
      </w:r>
      <w:r>
        <w:rPr>
          <w:rFonts w:hint="eastAsia" w:ascii="仿宋_GB2312" w:hAnsi="微软雅黑" w:eastAsia="仿宋_GB2312" w:cs="Times New Roman"/>
          <w:sz w:val="32"/>
          <w:szCs w:val="32"/>
          <w:lang w:bidi="ar"/>
        </w:rPr>
        <w:t>驱动作用明显增强，发展新质生产力取得重要进展。</w:t>
      </w:r>
    </w:p>
    <w:p w14:paraId="227CF04B">
      <w:pPr>
        <w:pStyle w:val="41"/>
        <w:keepNext w:val="0"/>
        <w:keepLines w:val="0"/>
        <w:pageBreakBefore w:val="0"/>
        <w:widowControl w:val="0"/>
        <w:kinsoku/>
        <w:wordWrap/>
        <w:overflowPunct w:val="0"/>
        <w:topLinePunct/>
        <w:autoSpaceDE/>
        <w:autoSpaceDN/>
        <w:bidi w:val="0"/>
        <w:spacing w:line="560" w:lineRule="exact"/>
        <w:ind w:firstLine="626" w:firstLineChars="195"/>
        <w:jc w:val="both"/>
        <w:textAlignment w:val="auto"/>
        <w:rPr>
          <w:rFonts w:hint="eastAsia" w:ascii="仿宋_GB2312" w:hAnsi="微软雅黑" w:eastAsia="仿宋_GB2312"/>
          <w:sz w:val="32"/>
          <w:szCs w:val="32"/>
          <w:lang w:bidi="ar"/>
        </w:rPr>
      </w:pPr>
      <w:r>
        <w:rPr>
          <w:rFonts w:hint="eastAsia" w:eastAsia="仿宋_GB2312"/>
          <w:b/>
          <w:bCs/>
          <w:snapToGrid w:val="0"/>
          <w:sz w:val="32"/>
          <w:szCs w:val="32"/>
          <w:shd w:val="clear" w:color="auto" w:fill="FFFFFF"/>
        </w:rPr>
        <w:t>突出改革攻坚，推动深层次改革和高水平开放迈上新台阶。</w:t>
      </w:r>
      <w:r>
        <w:rPr>
          <w:rFonts w:hint="eastAsia" w:ascii="仿宋_GB2312" w:hAnsi="微软雅黑" w:eastAsia="仿宋_GB2312"/>
          <w:sz w:val="32"/>
          <w:szCs w:val="32"/>
          <w:lang w:bidi="ar"/>
        </w:rPr>
        <w:t>以经济体制改革为牵引的各类改革全面深化，形成一批创新性、标志性、可复制推广的吴江经验。高水平对外开放体制机制更加健全，制度型开放稳步</w:t>
      </w:r>
      <w:r>
        <w:rPr>
          <w:rFonts w:hint="eastAsia" w:ascii="仿宋_GB2312" w:hAnsi="微软雅黑" w:eastAsia="仿宋_GB2312"/>
          <w:sz w:val="32"/>
          <w:szCs w:val="32"/>
          <w:lang w:val="en-US" w:eastAsia="zh-CN" w:bidi="ar"/>
        </w:rPr>
        <w:t>扩大</w:t>
      </w:r>
      <w:r>
        <w:rPr>
          <w:rFonts w:hint="eastAsia" w:ascii="仿宋_GB2312" w:hAnsi="微软雅黑" w:eastAsia="仿宋_GB2312"/>
          <w:sz w:val="32"/>
          <w:szCs w:val="32"/>
          <w:lang w:bidi="ar"/>
        </w:rPr>
        <w:t>，对外贸易稳量提质，双向投资合作空间持续拓展。</w:t>
      </w:r>
    </w:p>
    <w:p w14:paraId="5B9527A7">
      <w:pPr>
        <w:pStyle w:val="41"/>
        <w:keepNext w:val="0"/>
        <w:keepLines w:val="0"/>
        <w:pageBreakBefore w:val="0"/>
        <w:widowControl w:val="0"/>
        <w:kinsoku/>
        <w:wordWrap/>
        <w:overflowPunct w:val="0"/>
        <w:topLinePunct/>
        <w:autoSpaceDE/>
        <w:autoSpaceDN/>
        <w:bidi w:val="0"/>
        <w:spacing w:line="560" w:lineRule="exact"/>
        <w:ind w:firstLine="626" w:firstLineChars="195"/>
        <w:jc w:val="both"/>
        <w:textAlignment w:val="auto"/>
        <w:rPr>
          <w:rFonts w:hint="eastAsia" w:ascii="仿宋_GB2312" w:hAnsi="仿宋_GB2312" w:eastAsia="仿宋_GB2312" w:cs="仿宋_GB2312"/>
          <w:sz w:val="32"/>
          <w:szCs w:val="32"/>
        </w:rPr>
      </w:pPr>
      <w:r>
        <w:rPr>
          <w:rFonts w:hint="eastAsia" w:eastAsia="仿宋_GB2312"/>
          <w:b/>
          <w:bCs/>
          <w:snapToGrid w:val="0"/>
          <w:sz w:val="32"/>
          <w:szCs w:val="32"/>
          <w:shd w:val="clear" w:color="auto" w:fill="FFFFFF"/>
        </w:rPr>
        <w:t>突出区域协同，推动国家重大发展战略落实迈上新台阶。</w:t>
      </w:r>
      <w:r>
        <w:rPr>
          <w:rFonts w:hint="eastAsia" w:ascii="仿宋_GB2312" w:hAnsi="微软雅黑" w:eastAsia="仿宋_GB2312"/>
          <w:sz w:val="32"/>
          <w:szCs w:val="32"/>
          <w:lang w:bidi="ar"/>
        </w:rPr>
        <w:t>推动长三角一体化发展、长江经济带发展等国家战略相关任务全面落实，</w:t>
      </w:r>
      <w:r>
        <w:rPr>
          <w:rFonts w:hint="eastAsia" w:ascii="仿宋_GB2312" w:hAnsi="仿宋_GB2312" w:eastAsia="仿宋_GB2312" w:cs="仿宋_GB2312"/>
          <w:sz w:val="32"/>
          <w:szCs w:val="32"/>
        </w:rPr>
        <w:t>更好服务全省全市区域协调发展，</w:t>
      </w:r>
      <w:r>
        <w:rPr>
          <w:rFonts w:hint="eastAsia" w:ascii="仿宋_GB2312" w:hAnsi="微软雅黑" w:eastAsia="仿宋_GB2312"/>
          <w:sz w:val="32"/>
          <w:szCs w:val="32"/>
          <w:lang w:bidi="ar"/>
        </w:rPr>
        <w:t>在</w:t>
      </w:r>
      <w:r>
        <w:rPr>
          <w:rFonts w:hint="eastAsia" w:ascii="仿宋_GB2312" w:eastAsia="仿宋_GB2312"/>
          <w:sz w:val="32"/>
          <w:szCs w:val="32"/>
        </w:rPr>
        <w:t>推进上海与苏州重点领域同城化发展</w:t>
      </w:r>
      <w:r>
        <w:rPr>
          <w:rFonts w:hint="eastAsia" w:ascii="仿宋_GB2312" w:eastAsia="仿宋_GB2312"/>
          <w:sz w:val="32"/>
          <w:szCs w:val="32"/>
          <w:lang w:val="en-US" w:eastAsia="zh-CN"/>
        </w:rPr>
        <w:t>上</w:t>
      </w:r>
      <w:r>
        <w:rPr>
          <w:rFonts w:hint="eastAsia" w:ascii="仿宋_GB2312" w:hAnsi="微软雅黑" w:eastAsia="仿宋_GB2312"/>
          <w:sz w:val="32"/>
          <w:szCs w:val="32"/>
          <w:lang w:bidi="ar"/>
        </w:rPr>
        <w:t>作出示范，长三角生态绿色一体化发展示范区建设从形态开</w:t>
      </w:r>
      <w:r>
        <w:rPr>
          <w:rFonts w:hint="eastAsia" w:ascii="仿宋_GB2312" w:hAnsi="微软雅黑" w:eastAsia="仿宋_GB2312"/>
          <w:spacing w:val="-6"/>
          <w:sz w:val="32"/>
          <w:szCs w:val="32"/>
          <w:lang w:bidi="ar"/>
        </w:rPr>
        <w:t>发向功能开发跃升，</w:t>
      </w:r>
      <w:r>
        <w:rPr>
          <w:rFonts w:hint="eastAsia" w:ascii="仿宋_GB2312" w:hAnsi="仿宋_GB2312" w:eastAsia="仿宋_GB2312" w:cs="仿宋_GB2312"/>
          <w:spacing w:val="-6"/>
          <w:sz w:val="32"/>
          <w:szCs w:val="32"/>
        </w:rPr>
        <w:t>先行探路、引领示范、辐射带动作用更好发挥。</w:t>
      </w:r>
    </w:p>
    <w:p w14:paraId="0AF07A7C">
      <w:pPr>
        <w:pStyle w:val="41"/>
        <w:keepNext w:val="0"/>
        <w:keepLines w:val="0"/>
        <w:pageBreakBefore w:val="0"/>
        <w:widowControl w:val="0"/>
        <w:kinsoku/>
        <w:wordWrap/>
        <w:overflowPunct w:val="0"/>
        <w:topLinePunct/>
        <w:autoSpaceDE/>
        <w:autoSpaceDN/>
        <w:bidi w:val="0"/>
        <w:spacing w:line="560" w:lineRule="exact"/>
        <w:ind w:firstLine="626" w:firstLineChars="195"/>
        <w:jc w:val="both"/>
        <w:textAlignment w:val="auto"/>
        <w:rPr>
          <w:rFonts w:hint="eastAsia" w:ascii="仿宋_GB2312" w:hAnsi="微软雅黑" w:eastAsia="仿宋_GB2312"/>
          <w:sz w:val="32"/>
          <w:szCs w:val="32"/>
          <w:lang w:bidi="ar"/>
        </w:rPr>
      </w:pPr>
      <w:r>
        <w:rPr>
          <w:rFonts w:hint="eastAsia" w:eastAsia="仿宋_GB2312"/>
          <w:b/>
          <w:bCs/>
          <w:snapToGrid w:val="0"/>
          <w:sz w:val="32"/>
          <w:szCs w:val="32"/>
          <w:shd w:val="clear" w:color="auto" w:fill="FFFFFF"/>
        </w:rPr>
        <w:t>突出城乡融合，推动全体人民共同富裕迈上新台阶。</w:t>
      </w:r>
      <w:r>
        <w:rPr>
          <w:rFonts w:hint="eastAsia" w:ascii="仿宋_GB2312" w:hAnsi="微软雅黑" w:eastAsia="仿宋_GB2312"/>
          <w:sz w:val="32"/>
          <w:szCs w:val="32"/>
          <w:lang w:bidi="ar"/>
        </w:rPr>
        <w:t>高质量充分就业取得新成效，居民收入增长与经济增长同步，中等收入群体比重明显提高，</w:t>
      </w:r>
      <w:r>
        <w:rPr>
          <w:rFonts w:hint="eastAsia" w:ascii="仿宋_GB2312" w:hAnsi="微软雅黑" w:eastAsia="仿宋_GB2312" w:cs="Times New Roman"/>
          <w:sz w:val="32"/>
          <w:szCs w:val="32"/>
          <w:lang w:bidi="ar"/>
        </w:rPr>
        <w:t>公共服务供给能力、质量和均等化程度全面提升，从“民生七有”向“民生七优”迈进，</w:t>
      </w:r>
      <w:r>
        <w:rPr>
          <w:rFonts w:hint="eastAsia" w:ascii="仿宋_GB2312" w:hAnsi="微软雅黑" w:eastAsia="仿宋_GB2312"/>
          <w:sz w:val="32"/>
          <w:szCs w:val="32"/>
          <w:lang w:bidi="ar"/>
        </w:rPr>
        <w:t>多层次社会保障体系持续完善，乡村全面振兴</w:t>
      </w:r>
      <w:r>
        <w:rPr>
          <w:rFonts w:hint="eastAsia" w:ascii="仿宋_GB2312" w:hAnsi="微软雅黑" w:eastAsia="仿宋_GB2312" w:cs="Times New Roman"/>
          <w:sz w:val="32"/>
          <w:szCs w:val="32"/>
          <w:lang w:bidi="ar"/>
        </w:rPr>
        <w:t>打开新局面，</w:t>
      </w:r>
      <w:r>
        <w:rPr>
          <w:rFonts w:hint="eastAsia" w:ascii="仿宋_GB2312" w:hAnsi="微软雅黑" w:eastAsia="仿宋_GB2312" w:cs="Times New Roman"/>
          <w:sz w:val="32"/>
          <w:szCs w:val="32"/>
          <w:lang w:val="en-US" w:eastAsia="zh-CN" w:bidi="ar"/>
        </w:rPr>
        <w:t>现代化</w:t>
      </w:r>
      <w:r>
        <w:rPr>
          <w:rFonts w:hint="eastAsia" w:ascii="仿宋_GB2312" w:hAnsi="微软雅黑" w:eastAsia="仿宋_GB2312"/>
          <w:sz w:val="32"/>
          <w:szCs w:val="32"/>
          <w:lang w:bidi="ar"/>
        </w:rPr>
        <w:t>人民</w:t>
      </w:r>
      <w:r>
        <w:rPr>
          <w:rFonts w:hint="eastAsia" w:ascii="仿宋_GB2312" w:hAnsi="微软雅黑" w:eastAsia="仿宋_GB2312"/>
          <w:sz w:val="32"/>
          <w:szCs w:val="32"/>
          <w:lang w:val="en-US" w:eastAsia="zh-CN" w:bidi="ar"/>
        </w:rPr>
        <w:t>城市建设取得重要进展</w:t>
      </w:r>
      <w:r>
        <w:rPr>
          <w:rFonts w:hint="eastAsia" w:ascii="仿宋_GB2312" w:hAnsi="微软雅黑" w:eastAsia="仿宋_GB2312"/>
          <w:sz w:val="32"/>
          <w:szCs w:val="32"/>
          <w:lang w:bidi="ar"/>
        </w:rPr>
        <w:t>。</w:t>
      </w:r>
    </w:p>
    <w:p w14:paraId="4DCF0709">
      <w:pPr>
        <w:keepNext w:val="0"/>
        <w:keepLines w:val="0"/>
        <w:pageBreakBefore w:val="0"/>
        <w:widowControl w:val="0"/>
        <w:kinsoku/>
        <w:wordWrap/>
        <w:overflowPunct w:val="0"/>
        <w:topLinePunct/>
        <w:autoSpaceDE/>
        <w:autoSpaceDN/>
        <w:bidi w:val="0"/>
        <w:adjustRightInd w:val="0"/>
        <w:snapToGrid w:val="0"/>
        <w:spacing w:line="560" w:lineRule="exact"/>
        <w:ind w:firstLine="643" w:firstLineChars="200"/>
        <w:jc w:val="both"/>
        <w:textAlignment w:val="auto"/>
        <w:rPr>
          <w:rFonts w:hint="eastAsia" w:ascii="仿宋_GB2312" w:hAnsi="微软雅黑" w:eastAsia="仿宋_GB2312"/>
          <w:kern w:val="0"/>
          <w:sz w:val="32"/>
          <w:szCs w:val="32"/>
          <w:lang w:bidi="ar"/>
        </w:rPr>
      </w:pPr>
      <w:r>
        <w:rPr>
          <w:rFonts w:hint="eastAsia" w:eastAsia="仿宋_GB2312"/>
          <w:b/>
          <w:bCs/>
          <w:snapToGrid w:val="0"/>
          <w:sz w:val="32"/>
          <w:szCs w:val="32"/>
          <w:shd w:val="clear" w:color="auto" w:fill="FFFFFF"/>
        </w:rPr>
        <w:t>突出文化繁荣，推动物质文明和精神文明协调发展迈上新台阶。</w:t>
      </w:r>
      <w:r>
        <w:rPr>
          <w:rFonts w:hint="eastAsia" w:ascii="仿宋_GB2312" w:hAnsi="微软雅黑" w:eastAsia="仿宋_GB2312"/>
          <w:kern w:val="0"/>
          <w:sz w:val="32"/>
          <w:szCs w:val="32"/>
          <w:lang w:bidi="ar"/>
        </w:rPr>
        <w:t>社会主义核心价值观深入人心，主流思想舆论巩固壮大，社会文明程度进一步提高，人文经济学实践和理论研究取得重要进展，文化事业和文化产业蓬勃发展，江南文化标识更加彰显，人民精神文化生活日益丰富，文化强区建设达到新高度。</w:t>
      </w:r>
    </w:p>
    <w:p w14:paraId="7C9FD5B8">
      <w:pPr>
        <w:keepNext w:val="0"/>
        <w:keepLines w:val="0"/>
        <w:pageBreakBefore w:val="0"/>
        <w:widowControl w:val="0"/>
        <w:kinsoku/>
        <w:wordWrap/>
        <w:overflowPunct w:val="0"/>
        <w:topLinePunct/>
        <w:autoSpaceDE/>
        <w:autoSpaceDN/>
        <w:bidi w:val="0"/>
        <w:adjustRightInd w:val="0"/>
        <w:snapToGrid w:val="0"/>
        <w:spacing w:line="560" w:lineRule="exact"/>
        <w:ind w:firstLine="643" w:firstLineChars="200"/>
        <w:jc w:val="both"/>
        <w:textAlignment w:val="auto"/>
        <w:rPr>
          <w:rFonts w:hint="eastAsia" w:ascii="仿宋_GB2312" w:hAnsi="微软雅黑" w:eastAsia="仿宋_GB2312"/>
          <w:kern w:val="0"/>
          <w:sz w:val="32"/>
          <w:szCs w:val="32"/>
          <w:lang w:bidi="ar"/>
        </w:rPr>
      </w:pPr>
      <w:r>
        <w:rPr>
          <w:rFonts w:hint="eastAsia" w:eastAsia="仿宋_GB2312"/>
          <w:b/>
          <w:bCs/>
          <w:snapToGrid w:val="0"/>
          <w:sz w:val="32"/>
          <w:szCs w:val="32"/>
          <w:shd w:val="clear" w:color="auto" w:fill="FFFFFF"/>
        </w:rPr>
        <w:t>突出绿色转型，推动美丽吴江建设迈上新台阶。</w:t>
      </w:r>
      <w:r>
        <w:rPr>
          <w:rFonts w:hint="eastAsia" w:ascii="仿宋_GB2312" w:hAnsi="微软雅黑" w:eastAsia="仿宋_GB2312"/>
          <w:kern w:val="0"/>
          <w:sz w:val="32"/>
          <w:szCs w:val="32"/>
          <w:lang w:bidi="ar"/>
        </w:rPr>
        <w:t>绿水青山就是金山银山理念深入践行，生态环境质量持续改善，太湖、大运河、太浦河等重点河湖生态保护成效得到巩固，清洁低碳安全高效的新型能源体系初步构建，绿色生产生活方式基本形成，生态优先、绿色发展走向更深层次。</w:t>
      </w:r>
    </w:p>
    <w:p w14:paraId="7DE2FC82">
      <w:pPr>
        <w:keepNext w:val="0"/>
        <w:keepLines w:val="0"/>
        <w:pageBreakBefore w:val="0"/>
        <w:widowControl w:val="0"/>
        <w:kinsoku/>
        <w:wordWrap/>
        <w:overflowPunct w:val="0"/>
        <w:topLinePunct/>
        <w:autoSpaceDE/>
        <w:autoSpaceDN/>
        <w:bidi w:val="0"/>
        <w:adjustRightInd w:val="0"/>
        <w:snapToGrid w:val="0"/>
        <w:spacing w:line="560" w:lineRule="exact"/>
        <w:ind w:firstLine="643" w:firstLineChars="200"/>
        <w:jc w:val="both"/>
        <w:textAlignment w:val="auto"/>
        <w:rPr>
          <w:rFonts w:hint="eastAsia" w:ascii="仿宋_GB2312" w:hAnsi="微软雅黑" w:eastAsia="仿宋_GB2312"/>
          <w:sz w:val="32"/>
          <w:szCs w:val="32"/>
        </w:rPr>
      </w:pPr>
      <w:r>
        <w:rPr>
          <w:rFonts w:hint="eastAsia" w:eastAsia="仿宋_GB2312"/>
          <w:b/>
          <w:bCs/>
          <w:snapToGrid w:val="0"/>
          <w:sz w:val="32"/>
          <w:szCs w:val="32"/>
          <w:shd w:val="clear" w:color="auto" w:fill="FFFFFF"/>
          <w:lang w:bidi="ar"/>
        </w:rPr>
        <w:t>突出法治建设，推动治理体系和治理能力现代化迈上新台阶。</w:t>
      </w:r>
      <w:r>
        <w:rPr>
          <w:rFonts w:hint="eastAsia" w:ascii="仿宋_GB2312" w:hAnsi="微软雅黑" w:eastAsia="仿宋_GB2312"/>
          <w:kern w:val="0"/>
          <w:sz w:val="32"/>
          <w:szCs w:val="32"/>
          <w:lang w:bidi="ar"/>
        </w:rPr>
        <w:t>全</w:t>
      </w:r>
      <w:r>
        <w:rPr>
          <w:rFonts w:hint="eastAsia" w:ascii="仿宋_GB2312" w:hAnsi="微软雅黑" w:eastAsia="仿宋_GB2312"/>
          <w:sz w:val="32"/>
          <w:szCs w:val="32"/>
        </w:rPr>
        <w:t>过程人民民主制度化、规范化、程序化水平进一步提高，法治吴江建设达到更高水平。</w:t>
      </w:r>
      <w:r>
        <w:rPr>
          <w:rFonts w:hint="eastAsia" w:ascii="仿宋_GB2312" w:hAnsi="微软雅黑" w:eastAsia="仿宋_GB2312" w:cs="Times New Roman"/>
          <w:sz w:val="32"/>
          <w:szCs w:val="32"/>
        </w:rPr>
        <w:t>总体国家</w:t>
      </w:r>
      <w:r>
        <w:rPr>
          <w:rFonts w:hint="eastAsia" w:ascii="仿宋_GB2312" w:hAnsi="微软雅黑" w:eastAsia="仿宋_GB2312" w:cs="Times New Roman"/>
          <w:kern w:val="0"/>
          <w:sz w:val="32"/>
          <w:szCs w:val="32"/>
          <w:lang w:bidi="ar"/>
        </w:rPr>
        <w:t>安全观牢固树立，防范化解重大风险体制机制不断完善，本质安全水平系统提升，社会治理</w:t>
      </w:r>
      <w:r>
        <w:rPr>
          <w:rFonts w:hint="eastAsia" w:ascii="仿宋_GB2312" w:hAnsi="微软雅黑" w:eastAsia="仿宋_GB2312"/>
          <w:sz w:val="32"/>
          <w:szCs w:val="32"/>
        </w:rPr>
        <w:t>总体效能明显增强，社会大局和谐稳定。</w:t>
      </w:r>
    </w:p>
    <w:p w14:paraId="26D72325">
      <w:pPr>
        <w:overflowPunct w:val="0"/>
        <w:topLinePunct/>
        <w:adjustRightInd w:val="0"/>
        <w:snapToGrid w:val="0"/>
        <w:spacing w:before="0" w:beforeLines="-2147483648" w:after="0" w:afterLines="-2147483648" w:line="560" w:lineRule="exact"/>
        <w:jc w:val="center"/>
        <w:rPr>
          <w:rFonts w:hint="eastAsia" w:ascii="黑体" w:hAnsi="黑体" w:eastAsia="黑体" w:cs="黑体"/>
          <w:b w:val="0"/>
          <w:bCs/>
          <w:kern w:val="21"/>
          <w:sz w:val="28"/>
          <w:szCs w:val="28"/>
          <w:highlight w:val="none"/>
          <w:lang w:val="en-US" w:eastAsia="zh-CN"/>
        </w:rPr>
      </w:pPr>
      <w:r>
        <w:rPr>
          <w:rFonts w:hint="eastAsia" w:ascii="黑体" w:hAnsi="黑体" w:eastAsia="黑体" w:cs="黑体"/>
          <w:b w:val="0"/>
          <w:bCs/>
          <w:kern w:val="21"/>
          <w:sz w:val="28"/>
          <w:szCs w:val="28"/>
          <w:highlight w:val="none"/>
          <w:lang w:val="en-US" w:eastAsia="zh-CN"/>
        </w:rPr>
        <w:t>吴江</w:t>
      </w:r>
      <w:r>
        <w:rPr>
          <w:rFonts w:hint="eastAsia" w:ascii="黑体" w:hAnsi="黑体" w:eastAsia="黑体" w:cs="黑体"/>
          <w:b w:val="0"/>
          <w:bCs/>
          <w:kern w:val="21"/>
          <w:sz w:val="28"/>
          <w:szCs w:val="28"/>
          <w:highlight w:val="none"/>
        </w:rPr>
        <w:t>区“十五五”经济社会发展</w:t>
      </w:r>
      <w:r>
        <w:rPr>
          <w:rFonts w:hint="eastAsia" w:ascii="黑体" w:hAnsi="黑体" w:eastAsia="黑体" w:cs="黑体"/>
          <w:b w:val="0"/>
          <w:bCs/>
          <w:kern w:val="21"/>
          <w:sz w:val="28"/>
          <w:szCs w:val="28"/>
          <w:highlight w:val="none"/>
          <w:lang w:val="en-US" w:eastAsia="zh-CN"/>
        </w:rPr>
        <w:t>主要指标</w:t>
      </w:r>
    </w:p>
    <w:tbl>
      <w:tblPr>
        <w:tblStyle w:val="24"/>
        <w:tblW w:w="483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9"/>
        <w:gridCol w:w="4386"/>
        <w:gridCol w:w="2409"/>
        <w:gridCol w:w="1238"/>
      </w:tblGrid>
      <w:tr w14:paraId="1A742C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4" w:hRule="atLeast"/>
          <w:tblHeader/>
          <w:jc w:val="center"/>
        </w:trPr>
        <w:tc>
          <w:tcPr>
            <w:tcW w:w="410" w:type="pct"/>
            <w:tcBorders>
              <w:top w:val="single" w:color="auto" w:sz="4" w:space="0"/>
              <w:left w:val="single" w:color="auto" w:sz="4" w:space="0"/>
              <w:bottom w:val="single" w:color="auto" w:sz="4" w:space="0"/>
              <w:right w:val="single" w:color="auto" w:sz="4" w:space="0"/>
            </w:tcBorders>
            <w:vAlign w:val="center"/>
          </w:tcPr>
          <w:p w14:paraId="7FA5C42F">
            <w:pPr>
              <w:overflowPunct w:val="0"/>
              <w:topLinePunct/>
              <w:jc w:val="center"/>
              <w:rPr>
                <w:rFonts w:ascii="Times New Roman" w:hAnsi="Times New Roman" w:eastAsia="黑体" w:cs="Times New Roman"/>
                <w:b w:val="0"/>
                <w:bCs/>
                <w:kern w:val="21"/>
                <w:szCs w:val="21"/>
                <w:highlight w:val="none"/>
              </w:rPr>
            </w:pPr>
            <w:r>
              <w:rPr>
                <w:rFonts w:ascii="Times New Roman" w:hAnsi="Times New Roman" w:eastAsia="黑体" w:cs="Times New Roman"/>
                <w:b w:val="0"/>
                <w:bCs/>
                <w:kern w:val="21"/>
                <w:szCs w:val="21"/>
                <w:highlight w:val="none"/>
              </w:rPr>
              <w:t>序号</w:t>
            </w:r>
          </w:p>
        </w:tc>
        <w:tc>
          <w:tcPr>
            <w:tcW w:w="2505" w:type="pct"/>
            <w:tcBorders>
              <w:top w:val="single" w:color="auto" w:sz="4" w:space="0"/>
              <w:left w:val="single" w:color="auto" w:sz="4" w:space="0"/>
              <w:bottom w:val="single" w:color="auto" w:sz="4" w:space="0"/>
              <w:right w:val="single" w:color="auto" w:sz="4" w:space="0"/>
            </w:tcBorders>
            <w:vAlign w:val="center"/>
          </w:tcPr>
          <w:p w14:paraId="40215298">
            <w:pPr>
              <w:overflowPunct w:val="0"/>
              <w:topLinePunct/>
              <w:jc w:val="center"/>
              <w:rPr>
                <w:rFonts w:ascii="Times New Roman" w:hAnsi="Times New Roman" w:eastAsia="黑体" w:cs="Times New Roman"/>
                <w:b w:val="0"/>
                <w:bCs/>
                <w:kern w:val="21"/>
                <w:szCs w:val="21"/>
                <w:highlight w:val="none"/>
              </w:rPr>
            </w:pPr>
            <w:r>
              <w:rPr>
                <w:rFonts w:ascii="Times New Roman" w:hAnsi="Times New Roman" w:eastAsia="黑体" w:cs="Times New Roman"/>
                <w:b w:val="0"/>
                <w:bCs/>
                <w:kern w:val="21"/>
                <w:szCs w:val="21"/>
                <w:highlight w:val="none"/>
              </w:rPr>
              <w:t>指标</w:t>
            </w:r>
          </w:p>
        </w:tc>
        <w:tc>
          <w:tcPr>
            <w:tcW w:w="1376" w:type="pct"/>
            <w:tcBorders>
              <w:top w:val="single" w:color="auto" w:sz="4" w:space="0"/>
              <w:left w:val="single" w:color="auto" w:sz="4" w:space="0"/>
              <w:bottom w:val="single" w:color="auto" w:sz="4" w:space="0"/>
              <w:right w:val="single" w:color="auto" w:sz="4" w:space="0"/>
            </w:tcBorders>
            <w:vAlign w:val="center"/>
          </w:tcPr>
          <w:p w14:paraId="17CE0FC3">
            <w:pPr>
              <w:overflowPunct w:val="0"/>
              <w:topLinePunct/>
              <w:jc w:val="center"/>
              <w:rPr>
                <w:rFonts w:ascii="Times New Roman" w:hAnsi="Times New Roman" w:eastAsia="黑体" w:cs="Times New Roman"/>
                <w:b w:val="0"/>
                <w:bCs/>
                <w:kern w:val="21"/>
                <w:szCs w:val="21"/>
                <w:highlight w:val="none"/>
              </w:rPr>
            </w:pPr>
            <w:r>
              <w:rPr>
                <w:rFonts w:hint="eastAsia" w:ascii="Times New Roman" w:hAnsi="Times New Roman" w:eastAsia="黑体" w:cs="Times New Roman"/>
                <w:b w:val="0"/>
                <w:bCs/>
                <w:kern w:val="21"/>
                <w:szCs w:val="21"/>
                <w:highlight w:val="none"/>
              </w:rPr>
              <w:t>“十五五”目标值</w:t>
            </w:r>
          </w:p>
        </w:tc>
        <w:tc>
          <w:tcPr>
            <w:tcW w:w="707" w:type="pct"/>
            <w:tcBorders>
              <w:top w:val="single" w:color="auto" w:sz="4" w:space="0"/>
              <w:left w:val="single" w:color="auto" w:sz="4" w:space="0"/>
              <w:bottom w:val="single" w:color="auto" w:sz="4" w:space="0"/>
              <w:right w:val="single" w:color="auto" w:sz="4" w:space="0"/>
            </w:tcBorders>
            <w:vAlign w:val="center"/>
          </w:tcPr>
          <w:p w14:paraId="3633EDEC">
            <w:pPr>
              <w:overflowPunct w:val="0"/>
              <w:topLinePunct/>
              <w:jc w:val="center"/>
              <w:rPr>
                <w:rFonts w:ascii="Times New Roman" w:hAnsi="Times New Roman" w:eastAsia="黑体" w:cs="Times New Roman"/>
                <w:b w:val="0"/>
                <w:bCs/>
                <w:kern w:val="21"/>
                <w:szCs w:val="21"/>
                <w:highlight w:val="none"/>
              </w:rPr>
            </w:pPr>
            <w:r>
              <w:rPr>
                <w:rFonts w:hint="eastAsia" w:ascii="Times New Roman" w:hAnsi="Times New Roman" w:eastAsia="黑体" w:cs="Times New Roman"/>
                <w:b w:val="0"/>
                <w:bCs/>
                <w:kern w:val="21"/>
                <w:szCs w:val="21"/>
                <w:highlight w:val="none"/>
              </w:rPr>
              <w:t>指标属性</w:t>
            </w:r>
          </w:p>
        </w:tc>
      </w:tr>
      <w:tr w14:paraId="7B99D4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4" w:hRule="atLeast"/>
          <w:jc w:val="center"/>
        </w:trPr>
        <w:tc>
          <w:tcPr>
            <w:tcW w:w="5000" w:type="pct"/>
            <w:gridSpan w:val="4"/>
            <w:tcBorders>
              <w:top w:val="single" w:color="auto" w:sz="4" w:space="0"/>
              <w:left w:val="single" w:color="auto" w:sz="4" w:space="0"/>
              <w:bottom w:val="single" w:color="auto" w:sz="4" w:space="0"/>
              <w:right w:val="single" w:color="auto" w:sz="4" w:space="0"/>
            </w:tcBorders>
            <w:vAlign w:val="center"/>
          </w:tcPr>
          <w:p w14:paraId="65CD7392">
            <w:pPr>
              <w:overflowPunct w:val="0"/>
              <w:adjustRightInd w:val="0"/>
              <w:snapToGrid w:val="0"/>
              <w:jc w:val="center"/>
              <w:rPr>
                <w:rFonts w:hint="eastAsia" w:ascii="宋体" w:hAnsi="宋体" w:eastAsia="宋体" w:cs="宋体"/>
                <w:b w:val="0"/>
                <w:bCs/>
                <w:snapToGrid w:val="0"/>
                <w:kern w:val="21"/>
                <w:szCs w:val="21"/>
                <w:highlight w:val="none"/>
              </w:rPr>
            </w:pPr>
            <w:r>
              <w:rPr>
                <w:rFonts w:hint="eastAsia" w:ascii="楷体_GB2312" w:hAnsi="楷体_GB2312" w:eastAsia="楷体_GB2312" w:cs="楷体_GB2312"/>
                <w:b w:val="0"/>
                <w:bCs/>
                <w:snapToGrid w:val="0"/>
                <w:kern w:val="21"/>
                <w:sz w:val="24"/>
                <w:szCs w:val="24"/>
                <w:highlight w:val="none"/>
                <w:lang w:val="en-US" w:eastAsia="zh-CN"/>
              </w:rPr>
              <w:t>一、经济强（12项）</w:t>
            </w:r>
          </w:p>
        </w:tc>
      </w:tr>
      <w:tr w14:paraId="5EE1E7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4" w:hRule="atLeast"/>
          <w:jc w:val="center"/>
        </w:trPr>
        <w:tc>
          <w:tcPr>
            <w:tcW w:w="410" w:type="pct"/>
            <w:tcBorders>
              <w:top w:val="single" w:color="auto" w:sz="4" w:space="0"/>
              <w:left w:val="single" w:color="auto" w:sz="4" w:space="0"/>
              <w:bottom w:val="single" w:color="auto" w:sz="4" w:space="0"/>
              <w:right w:val="single" w:color="auto" w:sz="4" w:space="0"/>
            </w:tcBorders>
            <w:vAlign w:val="center"/>
          </w:tcPr>
          <w:p w14:paraId="25D47DE3">
            <w:pPr>
              <w:overflowPunct w:val="0"/>
              <w:topLinePunct/>
              <w:spacing w:line="420" w:lineRule="exact"/>
              <w:jc w:val="center"/>
              <w:textAlignment w:val="center"/>
              <w:rPr>
                <w:rFonts w:hint="eastAsia" w:ascii="宋体" w:hAnsi="宋体" w:eastAsia="宋体" w:cs="宋体"/>
                <w:b w:val="0"/>
                <w:bCs/>
                <w:kern w:val="21"/>
                <w:szCs w:val="21"/>
                <w:highlight w:val="none"/>
              </w:rPr>
            </w:pPr>
            <w:r>
              <w:rPr>
                <w:rFonts w:hint="eastAsia" w:ascii="宋体" w:hAnsi="宋体" w:eastAsia="宋体" w:cs="宋体"/>
                <w:b w:val="0"/>
                <w:bCs w:val="0"/>
                <w:kern w:val="21"/>
                <w:szCs w:val="21"/>
                <w:highlight w:val="none"/>
                <w:lang w:bidi="ar"/>
              </w:rPr>
              <w:t>1</w:t>
            </w:r>
          </w:p>
        </w:tc>
        <w:tc>
          <w:tcPr>
            <w:tcW w:w="2505" w:type="pct"/>
            <w:tcBorders>
              <w:top w:val="single" w:color="auto" w:sz="4" w:space="0"/>
              <w:left w:val="single" w:color="auto" w:sz="4" w:space="0"/>
              <w:bottom w:val="single" w:color="auto" w:sz="4" w:space="0"/>
              <w:right w:val="single" w:color="auto" w:sz="4" w:space="0"/>
            </w:tcBorders>
            <w:vAlign w:val="center"/>
          </w:tcPr>
          <w:p w14:paraId="3690C6AC">
            <w:pPr>
              <w:overflowPunct w:val="0"/>
              <w:adjustRightInd w:val="0"/>
              <w:snapToGrid w:val="0"/>
              <w:jc w:val="center"/>
              <w:rPr>
                <w:rFonts w:hint="eastAsia" w:ascii="宋体" w:hAnsi="宋体" w:eastAsia="宋体" w:cs="宋体"/>
                <w:b w:val="0"/>
                <w:bCs/>
                <w:snapToGrid w:val="0"/>
                <w:kern w:val="21"/>
                <w:szCs w:val="21"/>
                <w:highlight w:val="none"/>
              </w:rPr>
            </w:pPr>
            <w:r>
              <w:rPr>
                <w:rFonts w:hint="eastAsia" w:ascii="宋体" w:hAnsi="宋体" w:eastAsia="宋体" w:cs="宋体"/>
                <w:b w:val="0"/>
                <w:bCs w:val="0"/>
                <w:snapToGrid w:val="0"/>
                <w:kern w:val="21"/>
                <w:szCs w:val="21"/>
                <w:highlight w:val="none"/>
              </w:rPr>
              <w:t>地区生产总值年均增长（%）</w:t>
            </w:r>
          </w:p>
        </w:tc>
        <w:tc>
          <w:tcPr>
            <w:tcW w:w="1376" w:type="pct"/>
            <w:tcBorders>
              <w:top w:val="single" w:color="auto" w:sz="4" w:space="0"/>
              <w:left w:val="single" w:color="auto" w:sz="4" w:space="0"/>
              <w:bottom w:val="single" w:color="auto" w:sz="4" w:space="0"/>
              <w:right w:val="single" w:color="auto" w:sz="4" w:space="0"/>
            </w:tcBorders>
            <w:vAlign w:val="center"/>
          </w:tcPr>
          <w:p w14:paraId="4CC7CBC7">
            <w:pPr>
              <w:overflowPunct w:val="0"/>
              <w:adjustRightInd w:val="0"/>
              <w:snapToGrid w:val="0"/>
              <w:jc w:val="center"/>
              <w:rPr>
                <w:rFonts w:hint="eastAsia" w:ascii="宋体" w:hAnsi="宋体" w:eastAsia="宋体" w:cs="宋体"/>
                <w:b w:val="0"/>
                <w:bCs w:val="0"/>
                <w:snapToGrid w:val="0"/>
                <w:kern w:val="21"/>
                <w:szCs w:val="21"/>
                <w:highlight w:val="none"/>
              </w:rPr>
            </w:pPr>
            <w:r>
              <w:rPr>
                <w:rFonts w:hint="eastAsia" w:ascii="宋体" w:hAnsi="宋体" w:eastAsia="宋体" w:cs="宋体"/>
                <w:b w:val="0"/>
                <w:bCs w:val="0"/>
                <w:snapToGrid w:val="0"/>
                <w:kern w:val="21"/>
                <w:szCs w:val="21"/>
                <w:highlight w:val="none"/>
              </w:rPr>
              <w:t>5左右</w:t>
            </w:r>
          </w:p>
        </w:tc>
        <w:tc>
          <w:tcPr>
            <w:tcW w:w="707" w:type="pct"/>
            <w:tcBorders>
              <w:top w:val="single" w:color="auto" w:sz="4" w:space="0"/>
              <w:left w:val="single" w:color="auto" w:sz="4" w:space="0"/>
              <w:bottom w:val="single" w:color="auto" w:sz="4" w:space="0"/>
              <w:right w:val="single" w:color="auto" w:sz="4" w:space="0"/>
            </w:tcBorders>
            <w:vAlign w:val="center"/>
          </w:tcPr>
          <w:p w14:paraId="76840D36">
            <w:pPr>
              <w:overflowPunct w:val="0"/>
              <w:adjustRightInd w:val="0"/>
              <w:snapToGrid w:val="0"/>
              <w:jc w:val="center"/>
              <w:rPr>
                <w:rFonts w:hint="eastAsia" w:ascii="宋体" w:hAnsi="宋体" w:eastAsia="宋体" w:cs="宋体"/>
                <w:b w:val="0"/>
                <w:bCs/>
                <w:snapToGrid w:val="0"/>
                <w:kern w:val="21"/>
                <w:szCs w:val="21"/>
                <w:highlight w:val="none"/>
              </w:rPr>
            </w:pPr>
            <w:r>
              <w:rPr>
                <w:rFonts w:hint="eastAsia" w:ascii="宋体" w:hAnsi="宋体" w:eastAsia="宋体" w:cs="宋体"/>
                <w:b w:val="0"/>
                <w:bCs/>
                <w:snapToGrid w:val="0"/>
                <w:kern w:val="21"/>
                <w:szCs w:val="21"/>
                <w:highlight w:val="none"/>
              </w:rPr>
              <w:t>预期性</w:t>
            </w:r>
          </w:p>
        </w:tc>
      </w:tr>
      <w:tr w14:paraId="618A80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4" w:hRule="atLeast"/>
          <w:jc w:val="center"/>
        </w:trPr>
        <w:tc>
          <w:tcPr>
            <w:tcW w:w="410" w:type="pct"/>
            <w:tcBorders>
              <w:top w:val="single" w:color="auto" w:sz="4" w:space="0"/>
              <w:left w:val="single" w:color="auto" w:sz="4" w:space="0"/>
              <w:bottom w:val="single" w:color="auto" w:sz="4" w:space="0"/>
              <w:right w:val="single" w:color="auto" w:sz="4" w:space="0"/>
            </w:tcBorders>
            <w:vAlign w:val="center"/>
          </w:tcPr>
          <w:p w14:paraId="2860E890">
            <w:pPr>
              <w:overflowPunct w:val="0"/>
              <w:topLinePunct/>
              <w:spacing w:line="420" w:lineRule="exact"/>
              <w:jc w:val="center"/>
              <w:textAlignment w:val="center"/>
              <w:rPr>
                <w:rFonts w:hint="eastAsia" w:ascii="宋体" w:hAnsi="宋体" w:eastAsia="宋体" w:cs="宋体"/>
                <w:b w:val="0"/>
                <w:bCs/>
                <w:kern w:val="21"/>
                <w:szCs w:val="21"/>
                <w:highlight w:val="none"/>
              </w:rPr>
            </w:pPr>
            <w:r>
              <w:rPr>
                <w:rFonts w:hint="eastAsia" w:ascii="宋体" w:hAnsi="宋体" w:eastAsia="宋体" w:cs="宋体"/>
                <w:b w:val="0"/>
                <w:bCs w:val="0"/>
                <w:kern w:val="21"/>
                <w:szCs w:val="21"/>
                <w:highlight w:val="none"/>
                <w:lang w:bidi="ar"/>
              </w:rPr>
              <w:t>2</w:t>
            </w:r>
          </w:p>
        </w:tc>
        <w:tc>
          <w:tcPr>
            <w:tcW w:w="2505" w:type="pct"/>
            <w:tcBorders>
              <w:top w:val="single" w:color="auto" w:sz="4" w:space="0"/>
              <w:left w:val="single" w:color="auto" w:sz="4" w:space="0"/>
              <w:bottom w:val="single" w:color="auto" w:sz="4" w:space="0"/>
              <w:right w:val="single" w:color="auto" w:sz="4" w:space="0"/>
            </w:tcBorders>
            <w:vAlign w:val="center"/>
          </w:tcPr>
          <w:p w14:paraId="6622BD47">
            <w:pPr>
              <w:overflowPunct w:val="0"/>
              <w:adjustRightInd w:val="0"/>
              <w:snapToGrid w:val="0"/>
              <w:jc w:val="center"/>
              <w:rPr>
                <w:rFonts w:hint="eastAsia" w:ascii="宋体" w:hAnsi="宋体" w:eastAsia="宋体" w:cs="宋体"/>
                <w:b w:val="0"/>
                <w:bCs/>
                <w:snapToGrid w:val="0"/>
                <w:kern w:val="21"/>
                <w:szCs w:val="21"/>
                <w:highlight w:val="none"/>
              </w:rPr>
            </w:pPr>
            <w:r>
              <w:rPr>
                <w:rFonts w:hint="eastAsia" w:ascii="宋体" w:hAnsi="宋体" w:eastAsia="宋体" w:cs="宋体"/>
                <w:b w:val="0"/>
                <w:bCs w:val="0"/>
                <w:snapToGrid w:val="0"/>
                <w:kern w:val="21"/>
                <w:szCs w:val="21"/>
                <w:highlight w:val="none"/>
              </w:rPr>
              <w:t>全员劳动生产率年均增长（%）</w:t>
            </w:r>
          </w:p>
        </w:tc>
        <w:tc>
          <w:tcPr>
            <w:tcW w:w="1376" w:type="pct"/>
            <w:tcBorders>
              <w:top w:val="single" w:color="auto" w:sz="4" w:space="0"/>
              <w:left w:val="single" w:color="auto" w:sz="4" w:space="0"/>
              <w:bottom w:val="single" w:color="auto" w:sz="4" w:space="0"/>
              <w:right w:val="single" w:color="auto" w:sz="4" w:space="0"/>
            </w:tcBorders>
            <w:vAlign w:val="center"/>
          </w:tcPr>
          <w:p w14:paraId="35632592">
            <w:pPr>
              <w:overflowPunct w:val="0"/>
              <w:adjustRightInd w:val="0"/>
              <w:snapToGrid w:val="0"/>
              <w:jc w:val="center"/>
              <w:rPr>
                <w:rFonts w:hint="eastAsia" w:ascii="宋体" w:hAnsi="宋体" w:eastAsia="宋体" w:cs="宋体"/>
                <w:b w:val="0"/>
                <w:bCs w:val="0"/>
                <w:snapToGrid w:val="0"/>
                <w:kern w:val="21"/>
                <w:szCs w:val="21"/>
                <w:highlight w:val="none"/>
              </w:rPr>
            </w:pPr>
            <w:r>
              <w:rPr>
                <w:rFonts w:hint="eastAsia" w:ascii="宋体" w:hAnsi="宋体" w:eastAsia="宋体" w:cs="宋体"/>
                <w:b w:val="0"/>
                <w:bCs w:val="0"/>
                <w:color w:val="000000"/>
                <w:kern w:val="21"/>
                <w:szCs w:val="21"/>
                <w:highlight w:val="none"/>
                <w:lang w:bidi="ar"/>
              </w:rPr>
              <w:t>高于GDP</w:t>
            </w:r>
            <w:r>
              <w:rPr>
                <w:rFonts w:hint="eastAsia" w:ascii="宋体" w:hAnsi="宋体" w:eastAsia="宋体" w:cs="宋体"/>
                <w:b w:val="0"/>
                <w:bCs w:val="0"/>
                <w:color w:val="000000"/>
                <w:kern w:val="21"/>
                <w:szCs w:val="21"/>
                <w:highlight w:val="none"/>
                <w:lang w:val="en-US" w:eastAsia="zh-CN" w:bidi="ar"/>
              </w:rPr>
              <w:t>年均增长</w:t>
            </w:r>
          </w:p>
        </w:tc>
        <w:tc>
          <w:tcPr>
            <w:tcW w:w="707" w:type="pct"/>
            <w:tcBorders>
              <w:top w:val="single" w:color="auto" w:sz="4" w:space="0"/>
              <w:left w:val="single" w:color="auto" w:sz="4" w:space="0"/>
              <w:bottom w:val="single" w:color="auto" w:sz="4" w:space="0"/>
              <w:right w:val="single" w:color="auto" w:sz="4" w:space="0"/>
            </w:tcBorders>
            <w:vAlign w:val="center"/>
          </w:tcPr>
          <w:p w14:paraId="317FB98E">
            <w:pPr>
              <w:overflowPunct w:val="0"/>
              <w:adjustRightInd w:val="0"/>
              <w:snapToGrid w:val="0"/>
              <w:jc w:val="center"/>
              <w:rPr>
                <w:rFonts w:hint="eastAsia" w:ascii="宋体" w:hAnsi="宋体" w:eastAsia="宋体" w:cs="宋体"/>
                <w:b w:val="0"/>
                <w:bCs/>
                <w:snapToGrid w:val="0"/>
                <w:kern w:val="21"/>
                <w:szCs w:val="21"/>
                <w:highlight w:val="none"/>
              </w:rPr>
            </w:pPr>
            <w:r>
              <w:rPr>
                <w:rFonts w:hint="eastAsia" w:ascii="宋体" w:hAnsi="宋体" w:eastAsia="宋体" w:cs="宋体"/>
                <w:b w:val="0"/>
                <w:bCs/>
                <w:snapToGrid w:val="0"/>
                <w:kern w:val="21"/>
                <w:szCs w:val="21"/>
                <w:highlight w:val="none"/>
              </w:rPr>
              <w:t>预期性</w:t>
            </w:r>
          </w:p>
        </w:tc>
      </w:tr>
      <w:tr w14:paraId="1F73D1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4" w:hRule="atLeast"/>
          <w:jc w:val="center"/>
        </w:trPr>
        <w:tc>
          <w:tcPr>
            <w:tcW w:w="410" w:type="pct"/>
            <w:tcBorders>
              <w:top w:val="single" w:color="auto" w:sz="4" w:space="0"/>
              <w:left w:val="single" w:color="auto" w:sz="4" w:space="0"/>
              <w:bottom w:val="single" w:color="auto" w:sz="4" w:space="0"/>
              <w:right w:val="single" w:color="auto" w:sz="4" w:space="0"/>
            </w:tcBorders>
            <w:vAlign w:val="center"/>
          </w:tcPr>
          <w:p w14:paraId="11229C84">
            <w:pPr>
              <w:overflowPunct w:val="0"/>
              <w:topLinePunct/>
              <w:spacing w:line="420" w:lineRule="exact"/>
              <w:jc w:val="center"/>
              <w:textAlignment w:val="center"/>
              <w:rPr>
                <w:rFonts w:hint="eastAsia" w:ascii="宋体" w:hAnsi="宋体" w:eastAsia="宋体" w:cs="宋体"/>
                <w:b w:val="0"/>
                <w:bCs/>
                <w:kern w:val="21"/>
                <w:szCs w:val="21"/>
                <w:highlight w:val="none"/>
                <w:lang w:bidi="ar"/>
              </w:rPr>
            </w:pPr>
            <w:r>
              <w:rPr>
                <w:rFonts w:hint="eastAsia" w:ascii="宋体" w:hAnsi="宋体" w:eastAsia="宋体" w:cs="宋体"/>
                <w:b w:val="0"/>
                <w:bCs w:val="0"/>
                <w:kern w:val="21"/>
                <w:szCs w:val="21"/>
                <w:highlight w:val="none"/>
                <w:lang w:bidi="ar"/>
              </w:rPr>
              <w:t>3</w:t>
            </w:r>
          </w:p>
        </w:tc>
        <w:tc>
          <w:tcPr>
            <w:tcW w:w="2505" w:type="pct"/>
            <w:tcBorders>
              <w:top w:val="single" w:color="auto" w:sz="4" w:space="0"/>
              <w:left w:val="single" w:color="auto" w:sz="4" w:space="0"/>
              <w:bottom w:val="single" w:color="auto" w:sz="4" w:space="0"/>
              <w:right w:val="single" w:color="auto" w:sz="4" w:space="0"/>
            </w:tcBorders>
            <w:vAlign w:val="center"/>
          </w:tcPr>
          <w:p w14:paraId="634F4150">
            <w:pPr>
              <w:overflowPunct w:val="0"/>
              <w:adjustRightInd w:val="0"/>
              <w:snapToGrid w:val="0"/>
              <w:jc w:val="center"/>
              <w:rPr>
                <w:rFonts w:hint="eastAsia" w:ascii="宋体" w:hAnsi="宋体" w:eastAsia="宋体" w:cs="宋体"/>
                <w:b w:val="0"/>
                <w:bCs/>
                <w:snapToGrid w:val="0"/>
                <w:kern w:val="21"/>
                <w:szCs w:val="21"/>
                <w:highlight w:val="none"/>
              </w:rPr>
            </w:pPr>
            <w:r>
              <w:rPr>
                <w:rFonts w:hint="eastAsia" w:ascii="宋体" w:hAnsi="宋体" w:eastAsia="宋体" w:cs="宋体"/>
                <w:b w:val="0"/>
                <w:bCs w:val="0"/>
                <w:snapToGrid w:val="0"/>
                <w:kern w:val="21"/>
                <w:szCs w:val="21"/>
                <w:highlight w:val="none"/>
                <w:lang w:val="en-US" w:eastAsia="zh-CN"/>
              </w:rPr>
              <w:t>全社会研发经费支出</w:t>
            </w:r>
            <w:r>
              <w:rPr>
                <w:rFonts w:hint="eastAsia" w:ascii="宋体" w:hAnsi="宋体" w:eastAsia="宋体" w:cs="宋体"/>
                <w:b w:val="0"/>
                <w:bCs w:val="0"/>
                <w:snapToGrid w:val="0"/>
                <w:kern w:val="21"/>
                <w:szCs w:val="21"/>
                <w:highlight w:val="none"/>
              </w:rPr>
              <w:t>占地区生产总值比重（%）</w:t>
            </w:r>
          </w:p>
        </w:tc>
        <w:tc>
          <w:tcPr>
            <w:tcW w:w="1376" w:type="pct"/>
            <w:tcBorders>
              <w:top w:val="single" w:color="auto" w:sz="4" w:space="0"/>
              <w:left w:val="single" w:color="auto" w:sz="4" w:space="0"/>
              <w:bottom w:val="single" w:color="auto" w:sz="4" w:space="0"/>
              <w:right w:val="single" w:color="auto" w:sz="4" w:space="0"/>
            </w:tcBorders>
            <w:vAlign w:val="center"/>
          </w:tcPr>
          <w:p w14:paraId="7CE3F4EA">
            <w:pPr>
              <w:overflowPunct w:val="0"/>
              <w:adjustRightInd w:val="0"/>
              <w:snapToGrid w:val="0"/>
              <w:jc w:val="center"/>
              <w:rPr>
                <w:rFonts w:hint="eastAsia" w:ascii="宋体" w:hAnsi="宋体" w:eastAsia="宋体" w:cs="宋体"/>
                <w:b w:val="0"/>
                <w:bCs w:val="0"/>
                <w:snapToGrid w:val="0"/>
                <w:kern w:val="21"/>
                <w:szCs w:val="21"/>
                <w:highlight w:val="none"/>
                <w:lang w:val="en-US" w:eastAsia="zh-CN"/>
              </w:rPr>
            </w:pPr>
            <w:r>
              <w:rPr>
                <w:rFonts w:hint="eastAsia" w:ascii="宋体" w:hAnsi="宋体" w:eastAsia="宋体" w:cs="宋体"/>
                <w:b w:val="0"/>
                <w:bCs w:val="0"/>
                <w:color w:val="000000"/>
                <w:kern w:val="21"/>
                <w:szCs w:val="21"/>
                <w:highlight w:val="none"/>
                <w:lang w:bidi="ar"/>
              </w:rPr>
              <w:t>4.8左右</w:t>
            </w:r>
          </w:p>
        </w:tc>
        <w:tc>
          <w:tcPr>
            <w:tcW w:w="707" w:type="pct"/>
            <w:tcBorders>
              <w:top w:val="single" w:color="auto" w:sz="4" w:space="0"/>
              <w:left w:val="single" w:color="auto" w:sz="4" w:space="0"/>
              <w:bottom w:val="single" w:color="auto" w:sz="4" w:space="0"/>
              <w:right w:val="single" w:color="auto" w:sz="4" w:space="0"/>
            </w:tcBorders>
            <w:vAlign w:val="center"/>
          </w:tcPr>
          <w:p w14:paraId="7D61A88F">
            <w:pPr>
              <w:overflowPunct w:val="0"/>
              <w:adjustRightInd w:val="0"/>
              <w:snapToGrid w:val="0"/>
              <w:jc w:val="center"/>
              <w:rPr>
                <w:rFonts w:hint="eastAsia" w:ascii="宋体" w:hAnsi="宋体" w:eastAsia="宋体" w:cs="宋体"/>
                <w:b w:val="0"/>
                <w:bCs/>
                <w:snapToGrid w:val="0"/>
                <w:kern w:val="21"/>
                <w:szCs w:val="21"/>
                <w:highlight w:val="none"/>
              </w:rPr>
            </w:pPr>
            <w:r>
              <w:rPr>
                <w:rFonts w:hint="eastAsia" w:ascii="宋体" w:hAnsi="宋体" w:eastAsia="宋体" w:cs="宋体"/>
                <w:b w:val="0"/>
                <w:bCs/>
                <w:snapToGrid w:val="0"/>
                <w:kern w:val="21"/>
                <w:szCs w:val="21"/>
                <w:highlight w:val="none"/>
              </w:rPr>
              <w:t>预期性</w:t>
            </w:r>
          </w:p>
        </w:tc>
      </w:tr>
      <w:tr w14:paraId="387ADA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4" w:hRule="atLeast"/>
          <w:jc w:val="center"/>
        </w:trPr>
        <w:tc>
          <w:tcPr>
            <w:tcW w:w="410" w:type="pct"/>
            <w:tcBorders>
              <w:top w:val="single" w:color="auto" w:sz="4" w:space="0"/>
              <w:left w:val="single" w:color="auto" w:sz="4" w:space="0"/>
              <w:bottom w:val="single" w:color="auto" w:sz="4" w:space="0"/>
              <w:right w:val="single" w:color="auto" w:sz="4" w:space="0"/>
            </w:tcBorders>
            <w:vAlign w:val="center"/>
          </w:tcPr>
          <w:p w14:paraId="241B5635">
            <w:pPr>
              <w:overflowPunct w:val="0"/>
              <w:topLinePunct/>
              <w:spacing w:line="420" w:lineRule="exact"/>
              <w:jc w:val="center"/>
              <w:textAlignment w:val="center"/>
              <w:rPr>
                <w:rFonts w:hint="eastAsia" w:ascii="宋体" w:hAnsi="宋体" w:eastAsia="宋体" w:cs="宋体"/>
                <w:b w:val="0"/>
                <w:bCs/>
                <w:kern w:val="21"/>
                <w:szCs w:val="21"/>
                <w:highlight w:val="none"/>
              </w:rPr>
            </w:pPr>
            <w:r>
              <w:rPr>
                <w:rFonts w:hint="eastAsia" w:ascii="宋体" w:hAnsi="宋体" w:eastAsia="宋体" w:cs="宋体"/>
                <w:b w:val="0"/>
                <w:bCs w:val="0"/>
                <w:kern w:val="21"/>
                <w:szCs w:val="21"/>
                <w:highlight w:val="none"/>
              </w:rPr>
              <w:t>4</w:t>
            </w:r>
          </w:p>
        </w:tc>
        <w:tc>
          <w:tcPr>
            <w:tcW w:w="2505" w:type="pct"/>
            <w:tcBorders>
              <w:top w:val="single" w:color="auto" w:sz="4" w:space="0"/>
              <w:left w:val="single" w:color="auto" w:sz="4" w:space="0"/>
              <w:bottom w:val="single" w:color="auto" w:sz="4" w:space="0"/>
              <w:right w:val="single" w:color="auto" w:sz="4" w:space="0"/>
            </w:tcBorders>
            <w:vAlign w:val="center"/>
          </w:tcPr>
          <w:p w14:paraId="51C1AB7D">
            <w:pPr>
              <w:overflowPunct w:val="0"/>
              <w:adjustRightInd w:val="0"/>
              <w:snapToGrid w:val="0"/>
              <w:jc w:val="center"/>
              <w:rPr>
                <w:rFonts w:hint="eastAsia" w:ascii="宋体" w:hAnsi="宋体" w:eastAsia="宋体" w:cs="宋体"/>
                <w:b w:val="0"/>
                <w:bCs/>
                <w:snapToGrid w:val="0"/>
                <w:kern w:val="21"/>
                <w:szCs w:val="21"/>
                <w:highlight w:val="none"/>
              </w:rPr>
            </w:pPr>
            <w:r>
              <w:rPr>
                <w:rFonts w:hint="eastAsia" w:ascii="宋体" w:hAnsi="宋体" w:eastAsia="宋体" w:cs="宋体"/>
                <w:b w:val="0"/>
                <w:bCs w:val="0"/>
                <w:snapToGrid w:val="0"/>
                <w:kern w:val="21"/>
                <w:szCs w:val="21"/>
                <w:highlight w:val="none"/>
              </w:rPr>
              <w:t>每万人口高价值发明专利</w:t>
            </w:r>
            <w:r>
              <w:rPr>
                <w:rFonts w:hint="eastAsia" w:ascii="宋体" w:hAnsi="宋体" w:eastAsia="宋体" w:cs="宋体"/>
                <w:b w:val="0"/>
                <w:bCs w:val="0"/>
                <w:snapToGrid w:val="0"/>
                <w:kern w:val="21"/>
                <w:szCs w:val="21"/>
                <w:highlight w:val="none"/>
                <w:lang w:val="en-US" w:eastAsia="zh-CN"/>
              </w:rPr>
              <w:t>拥有量</w:t>
            </w:r>
            <w:r>
              <w:rPr>
                <w:rFonts w:hint="eastAsia" w:ascii="宋体" w:hAnsi="宋体" w:eastAsia="宋体" w:cs="宋体"/>
                <w:b w:val="0"/>
                <w:bCs w:val="0"/>
                <w:snapToGrid w:val="0"/>
                <w:kern w:val="21"/>
                <w:szCs w:val="21"/>
                <w:highlight w:val="none"/>
              </w:rPr>
              <w:t>（件）</w:t>
            </w:r>
          </w:p>
        </w:tc>
        <w:tc>
          <w:tcPr>
            <w:tcW w:w="1376" w:type="pct"/>
            <w:tcBorders>
              <w:top w:val="single" w:color="auto" w:sz="4" w:space="0"/>
              <w:left w:val="single" w:color="auto" w:sz="4" w:space="0"/>
              <w:bottom w:val="single" w:color="auto" w:sz="4" w:space="0"/>
              <w:right w:val="single" w:color="auto" w:sz="4" w:space="0"/>
            </w:tcBorders>
            <w:vAlign w:val="center"/>
          </w:tcPr>
          <w:p w14:paraId="644D97DB">
            <w:pPr>
              <w:overflowPunct w:val="0"/>
              <w:adjustRightInd w:val="0"/>
              <w:snapToGrid w:val="0"/>
              <w:jc w:val="center"/>
              <w:rPr>
                <w:rFonts w:hint="eastAsia" w:ascii="宋体" w:hAnsi="宋体" w:eastAsia="宋体" w:cs="宋体"/>
                <w:b w:val="0"/>
                <w:bCs w:val="0"/>
                <w:snapToGrid w:val="0"/>
                <w:kern w:val="21"/>
                <w:szCs w:val="21"/>
                <w:highlight w:val="none"/>
                <w:lang w:val="en-US" w:eastAsia="zh-CN"/>
              </w:rPr>
            </w:pPr>
            <w:r>
              <w:rPr>
                <w:rFonts w:hint="eastAsia" w:ascii="宋体" w:hAnsi="宋体" w:eastAsia="宋体" w:cs="宋体"/>
                <w:b w:val="0"/>
                <w:bCs w:val="0"/>
                <w:color w:val="000000"/>
                <w:kern w:val="21"/>
                <w:szCs w:val="21"/>
                <w:highlight w:val="none"/>
                <w:lang w:val="en-US" w:eastAsia="zh-CN" w:bidi="ar"/>
              </w:rPr>
              <w:t>7</w:t>
            </w:r>
            <w:r>
              <w:rPr>
                <w:rFonts w:hint="eastAsia" w:ascii="宋体" w:hAnsi="宋体" w:cs="宋体"/>
                <w:b w:val="0"/>
                <w:bCs w:val="0"/>
                <w:color w:val="000000"/>
                <w:kern w:val="21"/>
                <w:szCs w:val="21"/>
                <w:highlight w:val="none"/>
                <w:lang w:val="en-US" w:eastAsia="zh-CN" w:bidi="ar"/>
              </w:rPr>
              <w:t>0</w:t>
            </w:r>
          </w:p>
        </w:tc>
        <w:tc>
          <w:tcPr>
            <w:tcW w:w="707" w:type="pct"/>
            <w:tcBorders>
              <w:top w:val="single" w:color="auto" w:sz="4" w:space="0"/>
              <w:left w:val="single" w:color="auto" w:sz="4" w:space="0"/>
              <w:bottom w:val="single" w:color="auto" w:sz="4" w:space="0"/>
              <w:right w:val="single" w:color="auto" w:sz="4" w:space="0"/>
            </w:tcBorders>
            <w:vAlign w:val="center"/>
          </w:tcPr>
          <w:p w14:paraId="62B7C43C">
            <w:pPr>
              <w:overflowPunct w:val="0"/>
              <w:adjustRightInd w:val="0"/>
              <w:snapToGrid w:val="0"/>
              <w:jc w:val="center"/>
              <w:rPr>
                <w:rFonts w:hint="eastAsia" w:ascii="宋体" w:hAnsi="宋体" w:eastAsia="宋体" w:cs="宋体"/>
                <w:b w:val="0"/>
                <w:bCs/>
                <w:snapToGrid w:val="0"/>
                <w:kern w:val="21"/>
                <w:szCs w:val="21"/>
                <w:highlight w:val="none"/>
              </w:rPr>
            </w:pPr>
            <w:r>
              <w:rPr>
                <w:rFonts w:hint="eastAsia" w:ascii="宋体" w:hAnsi="宋体" w:eastAsia="宋体" w:cs="宋体"/>
                <w:b w:val="0"/>
                <w:bCs/>
                <w:snapToGrid w:val="0"/>
                <w:kern w:val="21"/>
                <w:szCs w:val="21"/>
                <w:highlight w:val="none"/>
              </w:rPr>
              <w:t>预期性</w:t>
            </w:r>
          </w:p>
        </w:tc>
      </w:tr>
      <w:tr w14:paraId="05EF33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4" w:hRule="atLeast"/>
          <w:jc w:val="center"/>
        </w:trPr>
        <w:tc>
          <w:tcPr>
            <w:tcW w:w="410" w:type="pct"/>
            <w:tcBorders>
              <w:top w:val="single" w:color="auto" w:sz="4" w:space="0"/>
              <w:left w:val="single" w:color="auto" w:sz="4" w:space="0"/>
              <w:bottom w:val="single" w:color="auto" w:sz="4" w:space="0"/>
              <w:right w:val="single" w:color="auto" w:sz="4" w:space="0"/>
            </w:tcBorders>
            <w:vAlign w:val="center"/>
          </w:tcPr>
          <w:p w14:paraId="5680EAF6">
            <w:pPr>
              <w:overflowPunct w:val="0"/>
              <w:topLinePunct/>
              <w:spacing w:line="420" w:lineRule="exact"/>
              <w:jc w:val="center"/>
              <w:textAlignment w:val="center"/>
              <w:rPr>
                <w:rFonts w:hint="eastAsia" w:ascii="宋体" w:hAnsi="宋体" w:eastAsia="宋体" w:cs="宋体"/>
                <w:b w:val="0"/>
                <w:bCs/>
                <w:kern w:val="21"/>
                <w:szCs w:val="21"/>
                <w:highlight w:val="none"/>
              </w:rPr>
            </w:pPr>
            <w:r>
              <w:rPr>
                <w:rFonts w:hint="eastAsia" w:ascii="宋体" w:hAnsi="宋体" w:eastAsia="宋体" w:cs="宋体"/>
                <w:b w:val="0"/>
                <w:bCs w:val="0"/>
                <w:kern w:val="21"/>
                <w:szCs w:val="21"/>
                <w:highlight w:val="none"/>
                <w:lang w:bidi="ar"/>
              </w:rPr>
              <w:t>5</w:t>
            </w:r>
          </w:p>
        </w:tc>
        <w:tc>
          <w:tcPr>
            <w:tcW w:w="2505" w:type="pct"/>
            <w:tcBorders>
              <w:top w:val="single" w:color="auto" w:sz="4" w:space="0"/>
              <w:left w:val="single" w:color="auto" w:sz="4" w:space="0"/>
              <w:bottom w:val="single" w:color="auto" w:sz="4" w:space="0"/>
              <w:right w:val="single" w:color="auto" w:sz="4" w:space="0"/>
            </w:tcBorders>
            <w:vAlign w:val="center"/>
          </w:tcPr>
          <w:p w14:paraId="4CEBD8D6">
            <w:pPr>
              <w:overflowPunct w:val="0"/>
              <w:adjustRightInd w:val="0"/>
              <w:snapToGrid w:val="0"/>
              <w:jc w:val="center"/>
              <w:rPr>
                <w:rFonts w:hint="eastAsia" w:ascii="宋体" w:hAnsi="宋体" w:eastAsia="宋体" w:cs="宋体"/>
                <w:b w:val="0"/>
                <w:bCs/>
                <w:snapToGrid w:val="0"/>
                <w:kern w:val="21"/>
                <w:szCs w:val="21"/>
                <w:highlight w:val="none"/>
              </w:rPr>
            </w:pPr>
            <w:r>
              <w:rPr>
                <w:rFonts w:hint="eastAsia" w:ascii="宋体" w:hAnsi="宋体" w:eastAsia="宋体" w:cs="宋体"/>
                <w:b w:val="0"/>
                <w:bCs w:val="0"/>
                <w:snapToGrid w:val="0"/>
                <w:kern w:val="21"/>
                <w:szCs w:val="21"/>
                <w:highlight w:val="none"/>
              </w:rPr>
              <w:t>规上工业增加值率（%）</w:t>
            </w:r>
          </w:p>
        </w:tc>
        <w:tc>
          <w:tcPr>
            <w:tcW w:w="1376" w:type="pct"/>
            <w:tcBorders>
              <w:top w:val="single" w:color="auto" w:sz="4" w:space="0"/>
              <w:left w:val="single" w:color="auto" w:sz="4" w:space="0"/>
              <w:bottom w:val="single" w:color="auto" w:sz="4" w:space="0"/>
              <w:right w:val="single" w:color="auto" w:sz="4" w:space="0"/>
            </w:tcBorders>
            <w:vAlign w:val="center"/>
          </w:tcPr>
          <w:p w14:paraId="1FB7F5FD">
            <w:pPr>
              <w:overflowPunct w:val="0"/>
              <w:adjustRightInd w:val="0"/>
              <w:snapToGrid w:val="0"/>
              <w:jc w:val="center"/>
              <w:rPr>
                <w:rFonts w:hint="eastAsia" w:ascii="宋体" w:hAnsi="宋体" w:eastAsia="宋体" w:cs="宋体"/>
                <w:b w:val="0"/>
                <w:bCs w:val="0"/>
                <w:snapToGrid w:val="0"/>
                <w:kern w:val="21"/>
                <w:szCs w:val="21"/>
                <w:highlight w:val="none"/>
                <w:lang w:val="en-US" w:eastAsia="zh-CN"/>
              </w:rPr>
            </w:pPr>
            <w:r>
              <w:rPr>
                <w:rFonts w:hint="eastAsia" w:ascii="宋体" w:hAnsi="宋体" w:eastAsia="宋体" w:cs="宋体"/>
                <w:b w:val="0"/>
                <w:bCs w:val="0"/>
                <w:color w:val="000000"/>
                <w:kern w:val="21"/>
                <w:szCs w:val="21"/>
                <w:highlight w:val="none"/>
                <w:lang w:bidi="ar"/>
              </w:rPr>
              <w:t>提高</w:t>
            </w:r>
            <w:r>
              <w:rPr>
                <w:rFonts w:hint="eastAsia" w:ascii="宋体" w:hAnsi="宋体" w:eastAsia="宋体" w:cs="宋体"/>
                <w:b w:val="0"/>
                <w:bCs w:val="0"/>
                <w:color w:val="000000"/>
                <w:kern w:val="21"/>
                <w:szCs w:val="21"/>
                <w:highlight w:val="none"/>
                <w:lang w:val="en-US" w:eastAsia="zh-CN" w:bidi="ar"/>
              </w:rPr>
              <w:t>1.</w:t>
            </w:r>
            <w:r>
              <w:rPr>
                <w:rFonts w:hint="eastAsia" w:ascii="宋体" w:hAnsi="宋体" w:cs="宋体"/>
                <w:b w:val="0"/>
                <w:bCs w:val="0"/>
                <w:color w:val="000000"/>
                <w:kern w:val="21"/>
                <w:szCs w:val="21"/>
                <w:highlight w:val="none"/>
                <w:lang w:val="en-US" w:eastAsia="zh-CN" w:bidi="ar"/>
              </w:rPr>
              <w:t>2</w:t>
            </w:r>
            <w:r>
              <w:rPr>
                <w:rFonts w:hint="eastAsia" w:ascii="宋体" w:hAnsi="宋体" w:eastAsia="宋体" w:cs="宋体"/>
                <w:b w:val="0"/>
                <w:bCs w:val="0"/>
                <w:color w:val="000000"/>
                <w:kern w:val="21"/>
                <w:szCs w:val="21"/>
                <w:highlight w:val="none"/>
                <w:lang w:bidi="ar"/>
              </w:rPr>
              <w:t>个百分点</w:t>
            </w:r>
            <w:r>
              <w:rPr>
                <w:rFonts w:hint="eastAsia" w:ascii="宋体" w:hAnsi="宋体" w:eastAsia="宋体" w:cs="宋体"/>
                <w:b w:val="0"/>
                <w:bCs w:val="0"/>
                <w:color w:val="000000"/>
                <w:kern w:val="21"/>
                <w:szCs w:val="21"/>
                <w:highlight w:val="none"/>
                <w:lang w:val="en-US" w:eastAsia="zh-CN" w:bidi="ar"/>
              </w:rPr>
              <w:t>以上</w:t>
            </w:r>
          </w:p>
        </w:tc>
        <w:tc>
          <w:tcPr>
            <w:tcW w:w="707" w:type="pct"/>
            <w:tcBorders>
              <w:top w:val="single" w:color="auto" w:sz="4" w:space="0"/>
              <w:left w:val="single" w:color="auto" w:sz="4" w:space="0"/>
              <w:bottom w:val="single" w:color="auto" w:sz="4" w:space="0"/>
              <w:right w:val="single" w:color="auto" w:sz="4" w:space="0"/>
            </w:tcBorders>
            <w:vAlign w:val="center"/>
          </w:tcPr>
          <w:p w14:paraId="3C3BC6DA">
            <w:pPr>
              <w:overflowPunct w:val="0"/>
              <w:adjustRightInd w:val="0"/>
              <w:snapToGrid w:val="0"/>
              <w:jc w:val="center"/>
              <w:rPr>
                <w:rFonts w:hint="eastAsia" w:ascii="宋体" w:hAnsi="宋体" w:eastAsia="宋体" w:cs="宋体"/>
                <w:b w:val="0"/>
                <w:bCs/>
                <w:snapToGrid w:val="0"/>
                <w:kern w:val="21"/>
                <w:szCs w:val="21"/>
                <w:highlight w:val="none"/>
              </w:rPr>
            </w:pPr>
            <w:r>
              <w:rPr>
                <w:rFonts w:hint="eastAsia" w:ascii="宋体" w:hAnsi="宋体" w:eastAsia="宋体" w:cs="宋体"/>
                <w:b w:val="0"/>
                <w:bCs/>
                <w:snapToGrid w:val="0"/>
                <w:kern w:val="21"/>
                <w:szCs w:val="21"/>
                <w:highlight w:val="none"/>
              </w:rPr>
              <w:t>预期性</w:t>
            </w:r>
          </w:p>
        </w:tc>
      </w:tr>
      <w:tr w14:paraId="30C767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4" w:hRule="atLeast"/>
          <w:jc w:val="center"/>
        </w:trPr>
        <w:tc>
          <w:tcPr>
            <w:tcW w:w="410" w:type="pct"/>
            <w:tcBorders>
              <w:top w:val="single" w:color="auto" w:sz="4" w:space="0"/>
              <w:left w:val="single" w:color="auto" w:sz="4" w:space="0"/>
              <w:bottom w:val="single" w:color="auto" w:sz="4" w:space="0"/>
              <w:right w:val="single" w:color="auto" w:sz="4" w:space="0"/>
            </w:tcBorders>
            <w:vAlign w:val="center"/>
          </w:tcPr>
          <w:p w14:paraId="77664329">
            <w:pPr>
              <w:overflowPunct w:val="0"/>
              <w:topLinePunct/>
              <w:spacing w:line="420" w:lineRule="exact"/>
              <w:jc w:val="center"/>
              <w:textAlignment w:val="center"/>
              <w:rPr>
                <w:rFonts w:hint="eastAsia" w:ascii="宋体" w:hAnsi="宋体" w:eastAsia="宋体" w:cs="宋体"/>
                <w:b w:val="0"/>
                <w:bCs/>
                <w:kern w:val="21"/>
                <w:szCs w:val="21"/>
                <w:highlight w:val="none"/>
                <w:lang w:bidi="ar"/>
              </w:rPr>
            </w:pPr>
            <w:r>
              <w:rPr>
                <w:rFonts w:hint="eastAsia" w:ascii="宋体" w:hAnsi="宋体" w:eastAsia="宋体" w:cs="宋体"/>
                <w:b w:val="0"/>
                <w:bCs w:val="0"/>
                <w:kern w:val="21"/>
                <w:szCs w:val="21"/>
                <w:highlight w:val="none"/>
                <w:lang w:val="en-US" w:eastAsia="zh-CN" w:bidi="ar"/>
              </w:rPr>
              <w:t>6</w:t>
            </w:r>
          </w:p>
        </w:tc>
        <w:tc>
          <w:tcPr>
            <w:tcW w:w="2505" w:type="pct"/>
            <w:tcBorders>
              <w:top w:val="single" w:color="auto" w:sz="4" w:space="0"/>
              <w:left w:val="single" w:color="auto" w:sz="4" w:space="0"/>
              <w:bottom w:val="single" w:color="auto" w:sz="4" w:space="0"/>
              <w:right w:val="single" w:color="auto" w:sz="4" w:space="0"/>
            </w:tcBorders>
            <w:vAlign w:val="center"/>
          </w:tcPr>
          <w:p w14:paraId="74A1BED5">
            <w:pPr>
              <w:overflowPunct w:val="0"/>
              <w:adjustRightInd w:val="0"/>
              <w:snapToGrid w:val="0"/>
              <w:jc w:val="center"/>
              <w:rPr>
                <w:rFonts w:hint="eastAsia" w:ascii="宋体" w:hAnsi="宋体" w:eastAsia="宋体" w:cs="宋体"/>
                <w:b w:val="0"/>
                <w:bCs/>
                <w:snapToGrid w:val="0"/>
                <w:kern w:val="21"/>
                <w:szCs w:val="21"/>
                <w:highlight w:val="none"/>
              </w:rPr>
            </w:pPr>
            <w:r>
              <w:rPr>
                <w:rFonts w:hint="eastAsia" w:ascii="宋体" w:hAnsi="宋体" w:eastAsia="宋体" w:cs="宋体"/>
                <w:b w:val="0"/>
                <w:bCs w:val="0"/>
                <w:snapToGrid w:val="0"/>
                <w:kern w:val="21"/>
                <w:szCs w:val="21"/>
                <w:highlight w:val="none"/>
                <w:lang w:val="en-US" w:eastAsia="zh-CN"/>
              </w:rPr>
              <w:t>制造业增加值占地区生产总值比重</w:t>
            </w:r>
            <w:r>
              <w:rPr>
                <w:rFonts w:hint="eastAsia" w:ascii="宋体" w:hAnsi="宋体" w:eastAsia="宋体" w:cs="宋体"/>
                <w:b w:val="0"/>
                <w:bCs w:val="0"/>
                <w:snapToGrid w:val="0"/>
                <w:kern w:val="21"/>
                <w:szCs w:val="21"/>
                <w:highlight w:val="none"/>
              </w:rPr>
              <w:t>（%）</w:t>
            </w:r>
          </w:p>
        </w:tc>
        <w:tc>
          <w:tcPr>
            <w:tcW w:w="1376" w:type="pct"/>
            <w:tcBorders>
              <w:top w:val="single" w:color="auto" w:sz="4" w:space="0"/>
              <w:left w:val="single" w:color="auto" w:sz="4" w:space="0"/>
              <w:bottom w:val="single" w:color="auto" w:sz="4" w:space="0"/>
              <w:right w:val="single" w:color="auto" w:sz="4" w:space="0"/>
            </w:tcBorders>
            <w:vAlign w:val="center"/>
          </w:tcPr>
          <w:p w14:paraId="34455F13">
            <w:pPr>
              <w:overflowPunct w:val="0"/>
              <w:adjustRightInd w:val="0"/>
              <w:snapToGrid w:val="0"/>
              <w:jc w:val="center"/>
              <w:rPr>
                <w:rFonts w:hint="eastAsia" w:ascii="宋体" w:hAnsi="宋体" w:eastAsia="宋体" w:cs="宋体"/>
                <w:b w:val="0"/>
                <w:bCs w:val="0"/>
                <w:strike w:val="0"/>
                <w:color w:val="000000"/>
                <w:kern w:val="21"/>
                <w:szCs w:val="21"/>
                <w:highlight w:val="none"/>
                <w:lang w:eastAsia="zh-CN" w:bidi="ar"/>
              </w:rPr>
            </w:pPr>
            <w:r>
              <w:rPr>
                <w:rFonts w:hint="eastAsia" w:ascii="宋体" w:hAnsi="宋体" w:eastAsia="宋体" w:cs="宋体"/>
                <w:b w:val="0"/>
                <w:bCs w:val="0"/>
                <w:color w:val="000000"/>
                <w:kern w:val="21"/>
                <w:szCs w:val="21"/>
                <w:highlight w:val="none"/>
                <w:lang w:val="en-US" w:eastAsia="zh-CN" w:bidi="ar"/>
              </w:rPr>
              <w:t>4</w:t>
            </w:r>
            <w:r>
              <w:rPr>
                <w:rFonts w:hint="eastAsia" w:ascii="宋体" w:hAnsi="宋体" w:cs="宋体"/>
                <w:b w:val="0"/>
                <w:bCs w:val="0"/>
                <w:color w:val="000000"/>
                <w:kern w:val="21"/>
                <w:szCs w:val="21"/>
                <w:highlight w:val="none"/>
                <w:lang w:val="en-US" w:eastAsia="zh-CN" w:bidi="ar"/>
              </w:rPr>
              <w:t>4</w:t>
            </w:r>
            <w:r>
              <w:rPr>
                <w:rFonts w:hint="eastAsia" w:ascii="宋体" w:hAnsi="宋体" w:eastAsia="宋体" w:cs="宋体"/>
                <w:b w:val="0"/>
                <w:bCs w:val="0"/>
                <w:color w:val="000000"/>
                <w:kern w:val="21"/>
                <w:szCs w:val="21"/>
                <w:highlight w:val="none"/>
                <w:lang w:val="en-US" w:eastAsia="zh-CN" w:bidi="ar"/>
              </w:rPr>
              <w:t>以上</w:t>
            </w:r>
          </w:p>
        </w:tc>
        <w:tc>
          <w:tcPr>
            <w:tcW w:w="707" w:type="pct"/>
            <w:tcBorders>
              <w:top w:val="single" w:color="auto" w:sz="4" w:space="0"/>
              <w:left w:val="single" w:color="auto" w:sz="4" w:space="0"/>
              <w:bottom w:val="single" w:color="auto" w:sz="4" w:space="0"/>
              <w:right w:val="single" w:color="auto" w:sz="4" w:space="0"/>
            </w:tcBorders>
            <w:vAlign w:val="center"/>
          </w:tcPr>
          <w:p w14:paraId="0A10E0A3">
            <w:pPr>
              <w:overflowPunct w:val="0"/>
              <w:adjustRightInd w:val="0"/>
              <w:snapToGrid w:val="0"/>
              <w:jc w:val="center"/>
              <w:rPr>
                <w:rFonts w:hint="eastAsia" w:ascii="宋体" w:hAnsi="宋体" w:eastAsia="宋体" w:cs="宋体"/>
                <w:b w:val="0"/>
                <w:bCs/>
                <w:snapToGrid w:val="0"/>
                <w:kern w:val="21"/>
                <w:szCs w:val="21"/>
                <w:highlight w:val="none"/>
              </w:rPr>
            </w:pPr>
            <w:r>
              <w:rPr>
                <w:rFonts w:hint="eastAsia" w:ascii="宋体" w:hAnsi="宋体" w:eastAsia="宋体" w:cs="宋体"/>
                <w:b w:val="0"/>
                <w:bCs/>
                <w:snapToGrid w:val="0"/>
                <w:kern w:val="21"/>
                <w:szCs w:val="21"/>
                <w:highlight w:val="none"/>
              </w:rPr>
              <w:t>预期性</w:t>
            </w:r>
          </w:p>
        </w:tc>
      </w:tr>
      <w:tr w14:paraId="755495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4" w:hRule="atLeast"/>
          <w:jc w:val="center"/>
        </w:trPr>
        <w:tc>
          <w:tcPr>
            <w:tcW w:w="410" w:type="pct"/>
            <w:tcBorders>
              <w:top w:val="single" w:color="auto" w:sz="4" w:space="0"/>
              <w:left w:val="single" w:color="auto" w:sz="4" w:space="0"/>
              <w:bottom w:val="single" w:color="auto" w:sz="4" w:space="0"/>
              <w:right w:val="single" w:color="auto" w:sz="4" w:space="0"/>
            </w:tcBorders>
            <w:vAlign w:val="center"/>
          </w:tcPr>
          <w:p w14:paraId="7B3FDFA2">
            <w:pPr>
              <w:overflowPunct w:val="0"/>
              <w:adjustRightInd w:val="0"/>
              <w:snapToGrid w:val="0"/>
              <w:jc w:val="center"/>
              <w:rPr>
                <w:rFonts w:hint="eastAsia" w:ascii="宋体" w:hAnsi="宋体" w:eastAsia="宋体" w:cs="宋体"/>
                <w:b w:val="0"/>
                <w:bCs/>
                <w:kern w:val="21"/>
                <w:szCs w:val="21"/>
                <w:highlight w:val="none"/>
                <w:lang w:bidi="ar"/>
              </w:rPr>
            </w:pPr>
            <w:r>
              <w:rPr>
                <w:rFonts w:hint="eastAsia" w:ascii="宋体" w:hAnsi="宋体" w:eastAsia="宋体" w:cs="宋体"/>
                <w:b w:val="0"/>
                <w:bCs w:val="0"/>
                <w:color w:val="000000"/>
                <w:kern w:val="21"/>
                <w:szCs w:val="21"/>
                <w:highlight w:val="none"/>
                <w:lang w:val="en-US" w:eastAsia="zh-CN" w:bidi="ar"/>
              </w:rPr>
              <w:t>7</w:t>
            </w:r>
          </w:p>
        </w:tc>
        <w:tc>
          <w:tcPr>
            <w:tcW w:w="2505" w:type="pct"/>
            <w:tcBorders>
              <w:top w:val="single" w:color="auto" w:sz="4" w:space="0"/>
              <w:left w:val="single" w:color="auto" w:sz="4" w:space="0"/>
              <w:bottom w:val="single" w:color="auto" w:sz="4" w:space="0"/>
              <w:right w:val="single" w:color="auto" w:sz="4" w:space="0"/>
            </w:tcBorders>
            <w:vAlign w:val="center"/>
          </w:tcPr>
          <w:p w14:paraId="4B019FD9">
            <w:pPr>
              <w:overflowPunct w:val="0"/>
              <w:adjustRightInd w:val="0"/>
              <w:snapToGrid w:val="0"/>
              <w:jc w:val="center"/>
              <w:rPr>
                <w:rFonts w:hint="eastAsia" w:ascii="宋体" w:hAnsi="宋体" w:eastAsia="宋体" w:cs="宋体"/>
                <w:b w:val="0"/>
                <w:bCs/>
                <w:snapToGrid w:val="0"/>
                <w:kern w:val="21"/>
                <w:szCs w:val="21"/>
                <w:highlight w:val="none"/>
              </w:rPr>
            </w:pPr>
            <w:r>
              <w:rPr>
                <w:rFonts w:hint="eastAsia" w:ascii="宋体" w:hAnsi="宋体" w:eastAsia="宋体" w:cs="宋体"/>
                <w:b w:val="0"/>
                <w:bCs w:val="0"/>
                <w:snapToGrid w:val="0"/>
                <w:kern w:val="21"/>
                <w:szCs w:val="21"/>
                <w:highlight w:val="none"/>
                <w:lang w:val="en-US" w:eastAsia="zh-CN"/>
              </w:rPr>
              <w:t>高新技术产业产值占规上工业总产值比重</w:t>
            </w:r>
            <w:r>
              <w:rPr>
                <w:rFonts w:hint="eastAsia" w:ascii="宋体" w:hAnsi="宋体" w:eastAsia="宋体" w:cs="宋体"/>
                <w:b w:val="0"/>
                <w:bCs w:val="0"/>
                <w:snapToGrid w:val="0"/>
                <w:kern w:val="21"/>
                <w:szCs w:val="21"/>
                <w:highlight w:val="none"/>
              </w:rPr>
              <w:t>（%）</w:t>
            </w:r>
          </w:p>
        </w:tc>
        <w:tc>
          <w:tcPr>
            <w:tcW w:w="1376" w:type="pct"/>
            <w:tcBorders>
              <w:top w:val="single" w:color="auto" w:sz="4" w:space="0"/>
              <w:left w:val="single" w:color="auto" w:sz="4" w:space="0"/>
              <w:bottom w:val="single" w:color="auto" w:sz="4" w:space="0"/>
              <w:right w:val="single" w:color="auto" w:sz="4" w:space="0"/>
            </w:tcBorders>
            <w:shd w:val="clear" w:color="auto" w:fill="auto"/>
            <w:vAlign w:val="center"/>
          </w:tcPr>
          <w:p w14:paraId="0D2FCE76">
            <w:pPr>
              <w:overflowPunct w:val="0"/>
              <w:adjustRightInd w:val="0"/>
              <w:snapToGrid w:val="0"/>
              <w:jc w:val="center"/>
              <w:rPr>
                <w:rFonts w:hint="default" w:ascii="宋体" w:hAnsi="宋体" w:eastAsia="宋体" w:cs="宋体"/>
                <w:b w:val="0"/>
                <w:bCs w:val="0"/>
                <w:snapToGrid w:val="0"/>
                <w:kern w:val="21"/>
                <w:sz w:val="21"/>
                <w:szCs w:val="21"/>
                <w:highlight w:val="none"/>
                <w:lang w:val="en-US" w:eastAsia="zh-CN" w:bidi="ar-SA"/>
              </w:rPr>
            </w:pPr>
            <w:r>
              <w:rPr>
                <w:rFonts w:hint="eastAsia" w:ascii="宋体" w:hAnsi="宋体" w:cs="宋体"/>
                <w:b w:val="0"/>
                <w:bCs w:val="0"/>
                <w:strike w:val="0"/>
                <w:color w:val="000000"/>
                <w:kern w:val="21"/>
                <w:szCs w:val="21"/>
                <w:highlight w:val="none"/>
                <w:lang w:val="en-US" w:eastAsia="zh-CN" w:bidi="ar"/>
              </w:rPr>
              <w:t>60以上</w:t>
            </w:r>
          </w:p>
        </w:tc>
        <w:tc>
          <w:tcPr>
            <w:tcW w:w="707" w:type="pct"/>
            <w:tcBorders>
              <w:top w:val="single" w:color="auto" w:sz="4" w:space="0"/>
              <w:left w:val="single" w:color="auto" w:sz="4" w:space="0"/>
              <w:bottom w:val="single" w:color="auto" w:sz="4" w:space="0"/>
              <w:right w:val="single" w:color="auto" w:sz="4" w:space="0"/>
            </w:tcBorders>
            <w:shd w:val="clear" w:color="auto" w:fill="auto"/>
            <w:vAlign w:val="center"/>
          </w:tcPr>
          <w:p w14:paraId="5522CA1F">
            <w:pPr>
              <w:overflowPunct w:val="0"/>
              <w:adjustRightInd w:val="0"/>
              <w:snapToGrid w:val="0"/>
              <w:jc w:val="center"/>
              <w:rPr>
                <w:rFonts w:hint="eastAsia" w:ascii="宋体" w:hAnsi="宋体" w:eastAsia="宋体" w:cs="宋体"/>
                <w:b w:val="0"/>
                <w:bCs/>
                <w:snapToGrid w:val="0"/>
                <w:kern w:val="21"/>
                <w:sz w:val="21"/>
                <w:szCs w:val="21"/>
                <w:highlight w:val="none"/>
                <w:lang w:val="en-US" w:eastAsia="zh-CN" w:bidi="ar-SA"/>
              </w:rPr>
            </w:pPr>
            <w:r>
              <w:rPr>
                <w:rFonts w:hint="eastAsia" w:ascii="宋体" w:hAnsi="宋体" w:eastAsia="宋体" w:cs="宋体"/>
                <w:b w:val="0"/>
                <w:bCs/>
                <w:snapToGrid w:val="0"/>
                <w:kern w:val="21"/>
                <w:szCs w:val="21"/>
                <w:highlight w:val="none"/>
              </w:rPr>
              <w:t>预期性</w:t>
            </w:r>
          </w:p>
        </w:tc>
      </w:tr>
      <w:tr w14:paraId="13312D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4" w:hRule="atLeast"/>
          <w:jc w:val="center"/>
        </w:trPr>
        <w:tc>
          <w:tcPr>
            <w:tcW w:w="410" w:type="pct"/>
            <w:tcBorders>
              <w:top w:val="single" w:color="auto" w:sz="4" w:space="0"/>
              <w:left w:val="single" w:color="auto" w:sz="4" w:space="0"/>
              <w:bottom w:val="single" w:color="auto" w:sz="4" w:space="0"/>
              <w:right w:val="single" w:color="auto" w:sz="4" w:space="0"/>
            </w:tcBorders>
            <w:vAlign w:val="center"/>
          </w:tcPr>
          <w:p w14:paraId="1E795D0A">
            <w:pPr>
              <w:overflowPunct w:val="0"/>
              <w:topLinePunct/>
              <w:spacing w:line="420" w:lineRule="exact"/>
              <w:jc w:val="center"/>
              <w:textAlignment w:val="center"/>
              <w:rPr>
                <w:rFonts w:hint="eastAsia" w:ascii="宋体" w:hAnsi="宋体" w:eastAsia="宋体" w:cs="宋体"/>
                <w:b w:val="0"/>
                <w:bCs/>
                <w:kern w:val="21"/>
                <w:szCs w:val="21"/>
                <w:highlight w:val="none"/>
                <w:lang w:bidi="ar"/>
              </w:rPr>
            </w:pPr>
            <w:r>
              <w:rPr>
                <w:rFonts w:hint="eastAsia" w:ascii="宋体" w:hAnsi="宋体" w:eastAsia="宋体" w:cs="宋体"/>
                <w:b w:val="0"/>
                <w:bCs w:val="0"/>
                <w:kern w:val="21"/>
                <w:szCs w:val="21"/>
                <w:highlight w:val="none"/>
                <w:lang w:val="en-US" w:eastAsia="zh-CN" w:bidi="ar"/>
              </w:rPr>
              <w:t>8</w:t>
            </w:r>
          </w:p>
        </w:tc>
        <w:tc>
          <w:tcPr>
            <w:tcW w:w="2505" w:type="pct"/>
            <w:tcBorders>
              <w:top w:val="single" w:color="auto" w:sz="4" w:space="0"/>
              <w:left w:val="single" w:color="auto" w:sz="4" w:space="0"/>
              <w:bottom w:val="single" w:color="auto" w:sz="4" w:space="0"/>
              <w:right w:val="single" w:color="auto" w:sz="4" w:space="0"/>
            </w:tcBorders>
            <w:vAlign w:val="center"/>
          </w:tcPr>
          <w:p w14:paraId="32905528">
            <w:pPr>
              <w:overflowPunct w:val="0"/>
              <w:adjustRightInd w:val="0"/>
              <w:snapToGrid w:val="0"/>
              <w:jc w:val="center"/>
              <w:rPr>
                <w:rFonts w:hint="eastAsia" w:ascii="宋体" w:hAnsi="宋体" w:eastAsia="宋体" w:cs="宋体"/>
                <w:b w:val="0"/>
                <w:bCs/>
                <w:snapToGrid w:val="0"/>
                <w:kern w:val="21"/>
                <w:szCs w:val="21"/>
                <w:highlight w:val="none"/>
              </w:rPr>
            </w:pPr>
            <w:r>
              <w:rPr>
                <w:rFonts w:hint="eastAsia" w:ascii="宋体" w:hAnsi="宋体" w:eastAsia="宋体" w:cs="宋体"/>
                <w:b w:val="0"/>
                <w:bCs w:val="0"/>
                <w:snapToGrid w:val="0"/>
                <w:spacing w:val="0"/>
                <w:kern w:val="21"/>
                <w:szCs w:val="21"/>
                <w:highlight w:val="none"/>
              </w:rPr>
              <w:t>规上数字经济核心产业营业收入占规上企业营业收入比重（%）</w:t>
            </w:r>
          </w:p>
        </w:tc>
        <w:tc>
          <w:tcPr>
            <w:tcW w:w="1376" w:type="pct"/>
            <w:tcBorders>
              <w:top w:val="single" w:color="auto" w:sz="4" w:space="0"/>
              <w:left w:val="single" w:color="auto" w:sz="4" w:space="0"/>
              <w:bottom w:val="single" w:color="auto" w:sz="4" w:space="0"/>
              <w:right w:val="single" w:color="auto" w:sz="4" w:space="0"/>
            </w:tcBorders>
            <w:shd w:val="clear" w:color="auto" w:fill="auto"/>
            <w:vAlign w:val="center"/>
          </w:tcPr>
          <w:p w14:paraId="7119288F">
            <w:pPr>
              <w:overflowPunct w:val="0"/>
              <w:adjustRightInd w:val="0"/>
              <w:snapToGrid w:val="0"/>
              <w:jc w:val="center"/>
              <w:rPr>
                <w:rFonts w:hint="default" w:ascii="宋体" w:hAnsi="宋体" w:eastAsia="宋体" w:cs="宋体"/>
                <w:b w:val="0"/>
                <w:bCs w:val="0"/>
                <w:snapToGrid w:val="0"/>
                <w:kern w:val="21"/>
                <w:sz w:val="21"/>
                <w:szCs w:val="21"/>
                <w:highlight w:val="none"/>
                <w:lang w:val="en-US" w:eastAsia="zh-CN" w:bidi="ar-SA"/>
              </w:rPr>
            </w:pPr>
            <w:r>
              <w:rPr>
                <w:rFonts w:hint="eastAsia" w:ascii="宋体" w:hAnsi="宋体" w:eastAsia="宋体" w:cs="宋体"/>
                <w:b w:val="0"/>
                <w:bCs w:val="0"/>
                <w:snapToGrid w:val="0"/>
                <w:kern w:val="21"/>
                <w:szCs w:val="21"/>
                <w:highlight w:val="none"/>
                <w:lang w:val="en-US" w:eastAsia="zh-CN"/>
              </w:rPr>
              <w:t>32.5左右</w:t>
            </w:r>
          </w:p>
        </w:tc>
        <w:tc>
          <w:tcPr>
            <w:tcW w:w="707" w:type="pct"/>
            <w:tcBorders>
              <w:top w:val="single" w:color="auto" w:sz="4" w:space="0"/>
              <w:left w:val="single" w:color="auto" w:sz="4" w:space="0"/>
              <w:bottom w:val="single" w:color="auto" w:sz="4" w:space="0"/>
              <w:right w:val="single" w:color="auto" w:sz="4" w:space="0"/>
            </w:tcBorders>
            <w:vAlign w:val="center"/>
          </w:tcPr>
          <w:p w14:paraId="26AE397D">
            <w:pPr>
              <w:overflowPunct w:val="0"/>
              <w:adjustRightInd w:val="0"/>
              <w:snapToGrid w:val="0"/>
              <w:jc w:val="center"/>
              <w:rPr>
                <w:rFonts w:hint="eastAsia" w:ascii="宋体" w:hAnsi="宋体" w:eastAsia="宋体" w:cs="宋体"/>
                <w:b w:val="0"/>
                <w:bCs/>
                <w:snapToGrid w:val="0"/>
                <w:kern w:val="21"/>
                <w:szCs w:val="21"/>
                <w:highlight w:val="none"/>
              </w:rPr>
            </w:pPr>
            <w:r>
              <w:rPr>
                <w:rFonts w:hint="eastAsia" w:ascii="宋体" w:hAnsi="宋体" w:eastAsia="宋体" w:cs="宋体"/>
                <w:b w:val="0"/>
                <w:bCs/>
                <w:snapToGrid w:val="0"/>
                <w:kern w:val="21"/>
                <w:szCs w:val="21"/>
                <w:highlight w:val="none"/>
              </w:rPr>
              <w:t>预期性</w:t>
            </w:r>
          </w:p>
        </w:tc>
      </w:tr>
      <w:tr w14:paraId="04A849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4" w:hRule="atLeast"/>
          <w:jc w:val="center"/>
        </w:trPr>
        <w:tc>
          <w:tcPr>
            <w:tcW w:w="410" w:type="pct"/>
            <w:tcBorders>
              <w:top w:val="single" w:color="auto" w:sz="4" w:space="0"/>
              <w:left w:val="single" w:color="auto" w:sz="4" w:space="0"/>
              <w:bottom w:val="single" w:color="auto" w:sz="4" w:space="0"/>
              <w:right w:val="single" w:color="auto" w:sz="4" w:space="0"/>
            </w:tcBorders>
            <w:vAlign w:val="center"/>
          </w:tcPr>
          <w:p w14:paraId="56BBA337">
            <w:pPr>
              <w:overflowPunct w:val="0"/>
              <w:adjustRightInd w:val="0"/>
              <w:snapToGrid w:val="0"/>
              <w:jc w:val="center"/>
              <w:rPr>
                <w:rFonts w:hint="eastAsia" w:ascii="宋体" w:hAnsi="宋体" w:eastAsia="宋体" w:cs="宋体"/>
                <w:b w:val="0"/>
                <w:bCs/>
                <w:kern w:val="21"/>
                <w:szCs w:val="21"/>
                <w:highlight w:val="none"/>
                <w:lang w:val="en-US" w:eastAsia="zh-CN" w:bidi="ar"/>
              </w:rPr>
            </w:pPr>
            <w:r>
              <w:rPr>
                <w:rFonts w:hint="eastAsia" w:ascii="宋体" w:hAnsi="宋体" w:eastAsia="宋体" w:cs="宋体"/>
                <w:b w:val="0"/>
                <w:bCs w:val="0"/>
                <w:color w:val="000000"/>
                <w:kern w:val="21"/>
                <w:szCs w:val="21"/>
                <w:highlight w:val="none"/>
                <w:lang w:val="en-US" w:eastAsia="zh-CN" w:bidi="ar"/>
              </w:rPr>
              <w:t>9</w:t>
            </w:r>
          </w:p>
        </w:tc>
        <w:tc>
          <w:tcPr>
            <w:tcW w:w="2505" w:type="pct"/>
            <w:tcBorders>
              <w:top w:val="single" w:color="auto" w:sz="4" w:space="0"/>
              <w:left w:val="single" w:color="auto" w:sz="4" w:space="0"/>
              <w:bottom w:val="single" w:color="auto" w:sz="4" w:space="0"/>
              <w:right w:val="single" w:color="auto" w:sz="4" w:space="0"/>
            </w:tcBorders>
            <w:shd w:val="clear" w:color="auto" w:fill="auto"/>
            <w:vAlign w:val="center"/>
          </w:tcPr>
          <w:p w14:paraId="6DD446E5">
            <w:pPr>
              <w:overflowPunct w:val="0"/>
              <w:adjustRightInd w:val="0"/>
              <w:snapToGrid w:val="0"/>
              <w:jc w:val="center"/>
              <w:rPr>
                <w:rFonts w:hint="eastAsia" w:ascii="宋体" w:hAnsi="宋体" w:eastAsia="宋体" w:cs="宋体"/>
                <w:b w:val="0"/>
                <w:bCs/>
                <w:snapToGrid w:val="0"/>
                <w:kern w:val="21"/>
                <w:sz w:val="21"/>
                <w:szCs w:val="21"/>
                <w:highlight w:val="none"/>
                <w:lang w:val="en-US" w:eastAsia="zh-CN" w:bidi="ar-SA"/>
              </w:rPr>
            </w:pPr>
            <w:r>
              <w:rPr>
                <w:rFonts w:hint="eastAsia" w:ascii="宋体" w:hAnsi="宋体" w:eastAsia="宋体" w:cs="宋体"/>
                <w:b w:val="0"/>
                <w:bCs w:val="0"/>
                <w:snapToGrid w:val="0"/>
                <w:kern w:val="21"/>
                <w:szCs w:val="21"/>
                <w:highlight w:val="none"/>
                <w:lang w:val="en-US" w:eastAsia="zh-CN"/>
              </w:rPr>
              <w:t>金融业增加值占地区生产总值比重</w:t>
            </w:r>
            <w:r>
              <w:rPr>
                <w:rFonts w:hint="eastAsia" w:ascii="宋体" w:hAnsi="宋体" w:eastAsia="宋体" w:cs="宋体"/>
                <w:b w:val="0"/>
                <w:bCs w:val="0"/>
                <w:snapToGrid w:val="0"/>
                <w:kern w:val="21"/>
                <w:szCs w:val="21"/>
                <w:highlight w:val="none"/>
              </w:rPr>
              <w:t>（%）</w:t>
            </w:r>
          </w:p>
        </w:tc>
        <w:tc>
          <w:tcPr>
            <w:tcW w:w="1376" w:type="pct"/>
            <w:tcBorders>
              <w:top w:val="single" w:color="auto" w:sz="4" w:space="0"/>
              <w:left w:val="single" w:color="auto" w:sz="4" w:space="0"/>
              <w:bottom w:val="single" w:color="auto" w:sz="4" w:space="0"/>
              <w:right w:val="single" w:color="auto" w:sz="4" w:space="0"/>
            </w:tcBorders>
            <w:shd w:val="clear" w:color="auto" w:fill="auto"/>
            <w:vAlign w:val="center"/>
          </w:tcPr>
          <w:p w14:paraId="6E7A5ADA">
            <w:pPr>
              <w:overflowPunct w:val="0"/>
              <w:adjustRightInd w:val="0"/>
              <w:snapToGrid w:val="0"/>
              <w:jc w:val="center"/>
              <w:rPr>
                <w:rFonts w:hint="eastAsia" w:ascii="宋体" w:hAnsi="宋体" w:eastAsia="宋体" w:cs="宋体"/>
                <w:b w:val="0"/>
                <w:bCs w:val="0"/>
                <w:snapToGrid w:val="0"/>
                <w:kern w:val="21"/>
                <w:sz w:val="21"/>
                <w:szCs w:val="21"/>
                <w:highlight w:val="none"/>
                <w:lang w:val="en-US" w:eastAsia="zh-CN" w:bidi="ar-SA"/>
              </w:rPr>
            </w:pPr>
            <w:r>
              <w:rPr>
                <w:rFonts w:hint="default" w:ascii="宋体" w:hAnsi="宋体" w:eastAsia="宋体" w:cs="宋体"/>
                <w:b w:val="0"/>
                <w:bCs w:val="0"/>
                <w:snapToGrid w:val="0"/>
                <w:kern w:val="21"/>
                <w:szCs w:val="21"/>
                <w:highlight w:val="none"/>
                <w:lang w:val="en-US"/>
              </w:rPr>
              <w:t>稳中有升</w:t>
            </w:r>
          </w:p>
        </w:tc>
        <w:tc>
          <w:tcPr>
            <w:tcW w:w="707" w:type="pct"/>
            <w:tcBorders>
              <w:top w:val="single" w:color="auto" w:sz="4" w:space="0"/>
              <w:left w:val="single" w:color="auto" w:sz="4" w:space="0"/>
              <w:bottom w:val="single" w:color="auto" w:sz="4" w:space="0"/>
              <w:right w:val="single" w:color="auto" w:sz="4" w:space="0"/>
            </w:tcBorders>
            <w:shd w:val="clear" w:color="auto" w:fill="auto"/>
            <w:vAlign w:val="center"/>
          </w:tcPr>
          <w:p w14:paraId="4B6F9AEC">
            <w:pPr>
              <w:overflowPunct w:val="0"/>
              <w:adjustRightInd w:val="0"/>
              <w:snapToGrid w:val="0"/>
              <w:jc w:val="center"/>
              <w:rPr>
                <w:rFonts w:hint="eastAsia" w:ascii="宋体" w:hAnsi="宋体" w:eastAsia="宋体" w:cs="宋体"/>
                <w:b w:val="0"/>
                <w:bCs/>
                <w:snapToGrid w:val="0"/>
                <w:kern w:val="21"/>
                <w:sz w:val="21"/>
                <w:szCs w:val="21"/>
                <w:highlight w:val="none"/>
                <w:lang w:val="en-US" w:eastAsia="zh-CN" w:bidi="ar-SA"/>
              </w:rPr>
            </w:pPr>
            <w:r>
              <w:rPr>
                <w:rFonts w:hint="eastAsia" w:ascii="宋体" w:hAnsi="宋体" w:eastAsia="宋体" w:cs="宋体"/>
                <w:b w:val="0"/>
                <w:bCs/>
                <w:snapToGrid w:val="0"/>
                <w:kern w:val="21"/>
                <w:szCs w:val="21"/>
                <w:highlight w:val="none"/>
              </w:rPr>
              <w:t>预期性</w:t>
            </w:r>
          </w:p>
        </w:tc>
      </w:tr>
      <w:tr w14:paraId="401C35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4" w:hRule="atLeast"/>
          <w:jc w:val="center"/>
        </w:trPr>
        <w:tc>
          <w:tcPr>
            <w:tcW w:w="410" w:type="pct"/>
            <w:tcBorders>
              <w:top w:val="single" w:color="auto" w:sz="4" w:space="0"/>
              <w:left w:val="single" w:color="auto" w:sz="4" w:space="0"/>
              <w:bottom w:val="single" w:color="auto" w:sz="4" w:space="0"/>
              <w:right w:val="single" w:color="auto" w:sz="4" w:space="0"/>
            </w:tcBorders>
            <w:vAlign w:val="center"/>
          </w:tcPr>
          <w:p w14:paraId="560EC413">
            <w:pPr>
              <w:overflowPunct w:val="0"/>
              <w:topLinePunct/>
              <w:spacing w:line="420" w:lineRule="exact"/>
              <w:jc w:val="center"/>
              <w:textAlignment w:val="center"/>
              <w:rPr>
                <w:rFonts w:hint="eastAsia" w:ascii="宋体" w:hAnsi="宋体" w:eastAsia="宋体" w:cs="宋体"/>
                <w:b w:val="0"/>
                <w:bCs/>
                <w:kern w:val="21"/>
                <w:szCs w:val="21"/>
                <w:highlight w:val="none"/>
                <w:lang w:val="en-US" w:eastAsia="zh-CN"/>
              </w:rPr>
            </w:pPr>
            <w:r>
              <w:rPr>
                <w:rFonts w:hint="eastAsia" w:ascii="宋体" w:hAnsi="宋体" w:eastAsia="宋体" w:cs="宋体"/>
                <w:b w:val="0"/>
                <w:bCs w:val="0"/>
                <w:kern w:val="21"/>
                <w:szCs w:val="21"/>
                <w:highlight w:val="none"/>
                <w:lang w:val="en-US" w:eastAsia="zh-CN"/>
              </w:rPr>
              <w:t>10</w:t>
            </w:r>
          </w:p>
        </w:tc>
        <w:tc>
          <w:tcPr>
            <w:tcW w:w="2505" w:type="pct"/>
            <w:tcBorders>
              <w:top w:val="single" w:color="auto" w:sz="4" w:space="0"/>
              <w:left w:val="single" w:color="auto" w:sz="4" w:space="0"/>
              <w:bottom w:val="single" w:color="auto" w:sz="4" w:space="0"/>
              <w:right w:val="single" w:color="auto" w:sz="4" w:space="0"/>
            </w:tcBorders>
            <w:vAlign w:val="center"/>
          </w:tcPr>
          <w:p w14:paraId="7B3B0F02">
            <w:pPr>
              <w:overflowPunct w:val="0"/>
              <w:adjustRightInd w:val="0"/>
              <w:snapToGrid w:val="0"/>
              <w:jc w:val="center"/>
              <w:rPr>
                <w:rFonts w:hint="eastAsia" w:ascii="宋体" w:hAnsi="宋体" w:eastAsia="宋体" w:cs="宋体"/>
                <w:b w:val="0"/>
                <w:bCs w:val="0"/>
                <w:snapToGrid w:val="0"/>
                <w:kern w:val="21"/>
                <w:szCs w:val="21"/>
                <w:highlight w:val="none"/>
              </w:rPr>
            </w:pPr>
            <w:r>
              <w:rPr>
                <w:rFonts w:hint="eastAsia" w:ascii="宋体" w:hAnsi="宋体" w:eastAsia="宋体" w:cs="宋体"/>
                <w:b w:val="0"/>
                <w:bCs w:val="0"/>
                <w:snapToGrid w:val="0"/>
                <w:kern w:val="21"/>
                <w:szCs w:val="21"/>
                <w:highlight w:val="none"/>
              </w:rPr>
              <w:t>生产性服务业增加值占服务业</w:t>
            </w:r>
          </w:p>
          <w:p w14:paraId="3BEF29C3">
            <w:pPr>
              <w:overflowPunct w:val="0"/>
              <w:adjustRightInd w:val="0"/>
              <w:snapToGrid w:val="0"/>
              <w:jc w:val="center"/>
              <w:rPr>
                <w:rFonts w:hint="eastAsia" w:ascii="宋体" w:hAnsi="宋体" w:eastAsia="宋体" w:cs="宋体"/>
                <w:b w:val="0"/>
                <w:bCs/>
                <w:snapToGrid w:val="0"/>
                <w:kern w:val="21"/>
                <w:szCs w:val="21"/>
                <w:highlight w:val="none"/>
              </w:rPr>
            </w:pPr>
            <w:r>
              <w:rPr>
                <w:rFonts w:hint="eastAsia" w:ascii="宋体" w:hAnsi="宋体" w:eastAsia="宋体" w:cs="宋体"/>
                <w:b w:val="0"/>
                <w:bCs w:val="0"/>
                <w:snapToGrid w:val="0"/>
                <w:kern w:val="21"/>
                <w:szCs w:val="21"/>
                <w:highlight w:val="none"/>
              </w:rPr>
              <w:t>增加值比重（%）</w:t>
            </w:r>
          </w:p>
        </w:tc>
        <w:tc>
          <w:tcPr>
            <w:tcW w:w="1376" w:type="pct"/>
            <w:tcBorders>
              <w:top w:val="single" w:color="auto" w:sz="4" w:space="0"/>
              <w:left w:val="single" w:color="auto" w:sz="4" w:space="0"/>
              <w:bottom w:val="single" w:color="auto" w:sz="4" w:space="0"/>
              <w:right w:val="single" w:color="auto" w:sz="4" w:space="0"/>
            </w:tcBorders>
            <w:vAlign w:val="center"/>
          </w:tcPr>
          <w:p w14:paraId="63B11400">
            <w:pPr>
              <w:overflowPunct w:val="0"/>
              <w:adjustRightInd w:val="0"/>
              <w:snapToGrid w:val="0"/>
              <w:jc w:val="center"/>
              <w:rPr>
                <w:rFonts w:hint="eastAsia" w:ascii="宋体" w:hAnsi="宋体" w:eastAsia="宋体" w:cs="宋体"/>
                <w:b w:val="0"/>
                <w:bCs w:val="0"/>
                <w:snapToGrid w:val="0"/>
                <w:kern w:val="21"/>
                <w:szCs w:val="21"/>
                <w:highlight w:val="none"/>
              </w:rPr>
            </w:pPr>
            <w:r>
              <w:rPr>
                <w:rFonts w:hint="eastAsia" w:ascii="宋体" w:hAnsi="宋体" w:eastAsia="宋体" w:cs="宋体"/>
                <w:b w:val="0"/>
                <w:bCs w:val="0"/>
                <w:color w:val="000000"/>
                <w:kern w:val="21"/>
                <w:szCs w:val="21"/>
                <w:highlight w:val="none"/>
                <w:lang w:val="en-US" w:eastAsia="zh-CN" w:bidi="ar"/>
              </w:rPr>
              <w:t>62左右</w:t>
            </w:r>
          </w:p>
        </w:tc>
        <w:tc>
          <w:tcPr>
            <w:tcW w:w="707" w:type="pct"/>
            <w:tcBorders>
              <w:top w:val="single" w:color="auto" w:sz="4" w:space="0"/>
              <w:left w:val="single" w:color="auto" w:sz="4" w:space="0"/>
              <w:bottom w:val="single" w:color="auto" w:sz="4" w:space="0"/>
              <w:right w:val="single" w:color="auto" w:sz="4" w:space="0"/>
            </w:tcBorders>
            <w:vAlign w:val="center"/>
          </w:tcPr>
          <w:p w14:paraId="1A92A5E4">
            <w:pPr>
              <w:overflowPunct w:val="0"/>
              <w:adjustRightInd w:val="0"/>
              <w:snapToGrid w:val="0"/>
              <w:jc w:val="center"/>
              <w:rPr>
                <w:rFonts w:hint="eastAsia" w:ascii="宋体" w:hAnsi="宋体" w:eastAsia="宋体" w:cs="宋体"/>
                <w:b w:val="0"/>
                <w:bCs/>
                <w:snapToGrid w:val="0"/>
                <w:kern w:val="21"/>
                <w:szCs w:val="21"/>
                <w:highlight w:val="none"/>
              </w:rPr>
            </w:pPr>
            <w:r>
              <w:rPr>
                <w:rFonts w:hint="eastAsia" w:ascii="宋体" w:hAnsi="宋体" w:eastAsia="宋体" w:cs="宋体"/>
                <w:b w:val="0"/>
                <w:bCs/>
                <w:snapToGrid w:val="0"/>
                <w:kern w:val="21"/>
                <w:szCs w:val="21"/>
                <w:highlight w:val="none"/>
              </w:rPr>
              <w:t>预期性</w:t>
            </w:r>
          </w:p>
        </w:tc>
      </w:tr>
      <w:tr w14:paraId="5E397B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4" w:hRule="atLeast"/>
          <w:jc w:val="center"/>
        </w:trPr>
        <w:tc>
          <w:tcPr>
            <w:tcW w:w="410" w:type="pct"/>
            <w:tcBorders>
              <w:top w:val="single" w:color="auto" w:sz="4" w:space="0"/>
              <w:left w:val="single" w:color="auto" w:sz="4" w:space="0"/>
              <w:bottom w:val="single" w:color="auto" w:sz="4" w:space="0"/>
              <w:right w:val="single" w:color="auto" w:sz="4" w:space="0"/>
            </w:tcBorders>
            <w:vAlign w:val="center"/>
          </w:tcPr>
          <w:p w14:paraId="681ED5C2">
            <w:pPr>
              <w:overflowPunct w:val="0"/>
              <w:adjustRightInd w:val="0"/>
              <w:snapToGrid w:val="0"/>
              <w:jc w:val="center"/>
              <w:rPr>
                <w:rFonts w:hint="eastAsia" w:ascii="宋体" w:hAnsi="宋体" w:eastAsia="宋体" w:cs="宋体"/>
                <w:b w:val="0"/>
                <w:bCs/>
                <w:kern w:val="21"/>
                <w:szCs w:val="21"/>
                <w:highlight w:val="none"/>
                <w:lang w:val="en-US" w:eastAsia="zh-CN" w:bidi="ar"/>
              </w:rPr>
            </w:pPr>
            <w:r>
              <w:rPr>
                <w:rFonts w:hint="eastAsia" w:ascii="宋体" w:hAnsi="宋体" w:eastAsia="宋体" w:cs="宋体"/>
                <w:b w:val="0"/>
                <w:bCs w:val="0"/>
                <w:color w:val="000000"/>
                <w:kern w:val="21"/>
                <w:szCs w:val="21"/>
                <w:highlight w:val="none"/>
                <w:lang w:val="en-US" w:eastAsia="zh-CN" w:bidi="ar"/>
              </w:rPr>
              <w:t>11</w:t>
            </w:r>
          </w:p>
        </w:tc>
        <w:tc>
          <w:tcPr>
            <w:tcW w:w="2505" w:type="pct"/>
            <w:tcBorders>
              <w:top w:val="single" w:color="auto" w:sz="4" w:space="0"/>
              <w:left w:val="single" w:color="auto" w:sz="4" w:space="0"/>
              <w:bottom w:val="single" w:color="auto" w:sz="4" w:space="0"/>
              <w:right w:val="single" w:color="auto" w:sz="4" w:space="0"/>
            </w:tcBorders>
            <w:vAlign w:val="center"/>
          </w:tcPr>
          <w:p w14:paraId="669607DD">
            <w:pPr>
              <w:overflowPunct w:val="0"/>
              <w:adjustRightInd w:val="0"/>
              <w:snapToGrid w:val="0"/>
              <w:jc w:val="center"/>
              <w:rPr>
                <w:rFonts w:hint="eastAsia" w:ascii="宋体" w:hAnsi="宋体" w:eastAsia="宋体" w:cs="宋体"/>
                <w:b w:val="0"/>
                <w:bCs/>
                <w:snapToGrid w:val="0"/>
                <w:kern w:val="21"/>
                <w:szCs w:val="21"/>
                <w:highlight w:val="none"/>
                <w:lang w:val="en-US" w:eastAsia="zh-CN"/>
              </w:rPr>
            </w:pPr>
            <w:r>
              <w:rPr>
                <w:rFonts w:hint="eastAsia" w:ascii="宋体" w:hAnsi="宋体" w:eastAsia="宋体" w:cs="宋体"/>
                <w:b w:val="0"/>
                <w:bCs w:val="0"/>
                <w:snapToGrid w:val="0"/>
                <w:kern w:val="21"/>
                <w:szCs w:val="21"/>
                <w:highlight w:val="none"/>
                <w:lang w:val="en-US" w:eastAsia="zh-CN"/>
              </w:rPr>
              <w:t>服务贸易进出口年均增长</w:t>
            </w:r>
            <w:r>
              <w:rPr>
                <w:rFonts w:hint="eastAsia" w:ascii="宋体" w:hAnsi="宋体" w:eastAsia="宋体" w:cs="宋体"/>
                <w:b w:val="0"/>
                <w:bCs w:val="0"/>
                <w:snapToGrid w:val="0"/>
                <w:kern w:val="21"/>
                <w:szCs w:val="21"/>
                <w:highlight w:val="none"/>
              </w:rPr>
              <w:t>（%）</w:t>
            </w:r>
          </w:p>
        </w:tc>
        <w:tc>
          <w:tcPr>
            <w:tcW w:w="1376" w:type="pct"/>
            <w:tcBorders>
              <w:top w:val="single" w:color="auto" w:sz="4" w:space="0"/>
              <w:left w:val="single" w:color="auto" w:sz="4" w:space="0"/>
              <w:bottom w:val="single" w:color="auto" w:sz="4" w:space="0"/>
              <w:right w:val="single" w:color="auto" w:sz="4" w:space="0"/>
            </w:tcBorders>
            <w:vAlign w:val="center"/>
          </w:tcPr>
          <w:p w14:paraId="49331A74">
            <w:pPr>
              <w:overflowPunct w:val="0"/>
              <w:adjustRightInd w:val="0"/>
              <w:snapToGrid w:val="0"/>
              <w:jc w:val="center"/>
              <w:rPr>
                <w:rFonts w:hint="default" w:ascii="宋体" w:hAnsi="宋体" w:eastAsia="宋体" w:cs="宋体"/>
                <w:b w:val="0"/>
                <w:bCs w:val="0"/>
                <w:snapToGrid w:val="0"/>
                <w:kern w:val="21"/>
                <w:szCs w:val="21"/>
                <w:highlight w:val="none"/>
                <w:lang w:val="en-US" w:eastAsia="zh-CN"/>
              </w:rPr>
            </w:pPr>
            <w:r>
              <w:rPr>
                <w:rFonts w:hint="eastAsia" w:ascii="宋体" w:hAnsi="宋体" w:eastAsia="宋体" w:cs="宋体"/>
                <w:b w:val="0"/>
                <w:bCs w:val="0"/>
                <w:snapToGrid w:val="0"/>
                <w:kern w:val="21"/>
                <w:szCs w:val="21"/>
                <w:highlight w:val="none"/>
                <w:lang w:val="en-US" w:eastAsia="zh-CN"/>
              </w:rPr>
              <w:t>10</w:t>
            </w:r>
            <w:r>
              <w:rPr>
                <w:rFonts w:hint="eastAsia" w:ascii="宋体" w:hAnsi="宋体" w:cs="宋体"/>
                <w:b w:val="0"/>
                <w:bCs w:val="0"/>
                <w:snapToGrid w:val="0"/>
                <w:kern w:val="21"/>
                <w:szCs w:val="21"/>
                <w:highlight w:val="none"/>
                <w:lang w:val="en-US" w:eastAsia="zh-CN"/>
              </w:rPr>
              <w:t>左右</w:t>
            </w:r>
          </w:p>
        </w:tc>
        <w:tc>
          <w:tcPr>
            <w:tcW w:w="707" w:type="pct"/>
            <w:tcBorders>
              <w:top w:val="single" w:color="auto" w:sz="4" w:space="0"/>
              <w:left w:val="single" w:color="auto" w:sz="4" w:space="0"/>
              <w:bottom w:val="single" w:color="auto" w:sz="4" w:space="0"/>
              <w:right w:val="single" w:color="auto" w:sz="4" w:space="0"/>
            </w:tcBorders>
            <w:vAlign w:val="center"/>
          </w:tcPr>
          <w:p w14:paraId="00D8CF0C">
            <w:pPr>
              <w:overflowPunct w:val="0"/>
              <w:adjustRightInd w:val="0"/>
              <w:snapToGrid w:val="0"/>
              <w:jc w:val="center"/>
              <w:rPr>
                <w:rFonts w:hint="eastAsia" w:ascii="宋体" w:hAnsi="宋体" w:eastAsia="宋体" w:cs="宋体"/>
                <w:b w:val="0"/>
                <w:bCs/>
                <w:snapToGrid w:val="0"/>
                <w:kern w:val="21"/>
                <w:szCs w:val="21"/>
                <w:highlight w:val="none"/>
              </w:rPr>
            </w:pPr>
            <w:r>
              <w:rPr>
                <w:rFonts w:hint="eastAsia" w:ascii="宋体" w:hAnsi="宋体" w:eastAsia="宋体" w:cs="宋体"/>
                <w:b w:val="0"/>
                <w:bCs/>
                <w:snapToGrid w:val="0"/>
                <w:kern w:val="21"/>
                <w:szCs w:val="21"/>
                <w:highlight w:val="none"/>
              </w:rPr>
              <w:t>预期性</w:t>
            </w:r>
          </w:p>
        </w:tc>
      </w:tr>
      <w:tr w14:paraId="20A6F2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4" w:hRule="atLeast"/>
          <w:jc w:val="center"/>
        </w:trPr>
        <w:tc>
          <w:tcPr>
            <w:tcW w:w="410" w:type="pct"/>
            <w:tcBorders>
              <w:top w:val="single" w:color="auto" w:sz="4" w:space="0"/>
              <w:left w:val="single" w:color="auto" w:sz="4" w:space="0"/>
              <w:bottom w:val="single" w:color="auto" w:sz="4" w:space="0"/>
              <w:right w:val="single" w:color="auto" w:sz="4" w:space="0"/>
            </w:tcBorders>
            <w:vAlign w:val="center"/>
          </w:tcPr>
          <w:p w14:paraId="4AEAEEBF">
            <w:pPr>
              <w:overflowPunct w:val="0"/>
              <w:adjustRightInd w:val="0"/>
              <w:snapToGrid w:val="0"/>
              <w:jc w:val="center"/>
              <w:rPr>
                <w:rFonts w:hint="eastAsia" w:ascii="宋体" w:hAnsi="宋体" w:eastAsia="宋体" w:cs="宋体"/>
                <w:b w:val="0"/>
                <w:bCs/>
                <w:kern w:val="21"/>
                <w:szCs w:val="21"/>
                <w:highlight w:val="none"/>
                <w:lang w:val="en-US" w:eastAsia="zh-CN" w:bidi="ar"/>
              </w:rPr>
            </w:pPr>
            <w:r>
              <w:rPr>
                <w:rFonts w:hint="eastAsia" w:ascii="宋体" w:hAnsi="宋体" w:eastAsia="宋体" w:cs="宋体"/>
                <w:b w:val="0"/>
                <w:bCs w:val="0"/>
                <w:kern w:val="21"/>
                <w:szCs w:val="21"/>
                <w:highlight w:val="none"/>
                <w:lang w:val="en-US" w:eastAsia="zh-CN"/>
              </w:rPr>
              <w:t>12</w:t>
            </w:r>
          </w:p>
        </w:tc>
        <w:tc>
          <w:tcPr>
            <w:tcW w:w="2505" w:type="pct"/>
            <w:tcBorders>
              <w:top w:val="single" w:color="auto" w:sz="4" w:space="0"/>
              <w:left w:val="single" w:color="auto" w:sz="4" w:space="0"/>
              <w:bottom w:val="single" w:color="auto" w:sz="4" w:space="0"/>
              <w:right w:val="single" w:color="auto" w:sz="4" w:space="0"/>
            </w:tcBorders>
            <w:vAlign w:val="center"/>
          </w:tcPr>
          <w:p w14:paraId="7EE028C6">
            <w:pPr>
              <w:overflowPunct w:val="0"/>
              <w:adjustRightInd w:val="0"/>
              <w:snapToGrid w:val="0"/>
              <w:jc w:val="center"/>
              <w:rPr>
                <w:rFonts w:hint="eastAsia" w:ascii="宋体" w:hAnsi="宋体" w:eastAsia="宋体" w:cs="宋体"/>
                <w:b w:val="0"/>
                <w:bCs/>
                <w:snapToGrid w:val="0"/>
                <w:kern w:val="21"/>
                <w:szCs w:val="21"/>
                <w:highlight w:val="none"/>
                <w:lang w:val="en-US" w:eastAsia="zh-CN"/>
              </w:rPr>
            </w:pPr>
            <w:r>
              <w:rPr>
                <w:rFonts w:hint="eastAsia" w:ascii="宋体" w:hAnsi="宋体" w:eastAsia="宋体" w:cs="宋体"/>
                <w:b w:val="0"/>
                <w:bCs w:val="0"/>
                <w:snapToGrid w:val="0"/>
                <w:kern w:val="21"/>
                <w:szCs w:val="21"/>
                <w:highlight w:val="none"/>
              </w:rPr>
              <w:t>粮食综合生产能力（亿斤）</w:t>
            </w:r>
          </w:p>
        </w:tc>
        <w:tc>
          <w:tcPr>
            <w:tcW w:w="1376" w:type="pct"/>
            <w:tcBorders>
              <w:top w:val="single" w:color="auto" w:sz="4" w:space="0"/>
              <w:left w:val="single" w:color="auto" w:sz="4" w:space="0"/>
              <w:bottom w:val="single" w:color="auto" w:sz="4" w:space="0"/>
              <w:right w:val="single" w:color="auto" w:sz="4" w:space="0"/>
            </w:tcBorders>
            <w:vAlign w:val="center"/>
          </w:tcPr>
          <w:p w14:paraId="7583522F">
            <w:pPr>
              <w:overflowPunct w:val="0"/>
              <w:adjustRightInd w:val="0"/>
              <w:snapToGrid w:val="0"/>
              <w:jc w:val="center"/>
              <w:rPr>
                <w:rFonts w:hint="eastAsia" w:ascii="宋体" w:hAnsi="宋体" w:eastAsia="宋体" w:cs="宋体"/>
                <w:b w:val="0"/>
                <w:bCs w:val="0"/>
                <w:snapToGrid w:val="0"/>
                <w:kern w:val="21"/>
                <w:szCs w:val="21"/>
                <w:highlight w:val="none"/>
                <w:lang w:val="en-US" w:eastAsia="zh-CN"/>
              </w:rPr>
            </w:pPr>
            <w:r>
              <w:rPr>
                <w:rFonts w:hint="eastAsia" w:ascii="宋体" w:hAnsi="宋体" w:eastAsia="宋体" w:cs="宋体"/>
                <w:b w:val="0"/>
                <w:bCs w:val="0"/>
                <w:snapToGrid w:val="0"/>
                <w:kern w:val="21"/>
                <w:szCs w:val="21"/>
                <w:highlight w:val="none"/>
                <w:lang w:val="en-US" w:eastAsia="zh-CN"/>
              </w:rPr>
              <w:t>3.46</w:t>
            </w:r>
          </w:p>
        </w:tc>
        <w:tc>
          <w:tcPr>
            <w:tcW w:w="707" w:type="pct"/>
            <w:tcBorders>
              <w:top w:val="single" w:color="auto" w:sz="4" w:space="0"/>
              <w:left w:val="single" w:color="auto" w:sz="4" w:space="0"/>
              <w:bottom w:val="single" w:color="auto" w:sz="4" w:space="0"/>
              <w:right w:val="single" w:color="auto" w:sz="4" w:space="0"/>
            </w:tcBorders>
            <w:vAlign w:val="center"/>
          </w:tcPr>
          <w:p w14:paraId="3FDD3E40">
            <w:pPr>
              <w:overflowPunct w:val="0"/>
              <w:adjustRightInd w:val="0"/>
              <w:snapToGrid w:val="0"/>
              <w:jc w:val="center"/>
              <w:rPr>
                <w:rFonts w:hint="eastAsia" w:ascii="宋体" w:hAnsi="宋体" w:eastAsia="宋体" w:cs="宋体"/>
                <w:b w:val="0"/>
                <w:bCs/>
                <w:snapToGrid w:val="0"/>
                <w:kern w:val="21"/>
                <w:szCs w:val="21"/>
                <w:highlight w:val="none"/>
              </w:rPr>
            </w:pPr>
            <w:r>
              <w:rPr>
                <w:rFonts w:hint="eastAsia" w:ascii="宋体" w:hAnsi="宋体" w:eastAsia="宋体" w:cs="宋体"/>
                <w:b w:val="0"/>
                <w:bCs w:val="0"/>
                <w:snapToGrid w:val="0"/>
                <w:kern w:val="21"/>
                <w:szCs w:val="21"/>
                <w:highlight w:val="none"/>
              </w:rPr>
              <w:t>约束性</w:t>
            </w:r>
          </w:p>
        </w:tc>
      </w:tr>
      <w:tr w14:paraId="6D670D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4" w:hRule="atLeast"/>
          <w:jc w:val="center"/>
        </w:trPr>
        <w:tc>
          <w:tcPr>
            <w:tcW w:w="5000" w:type="pct"/>
            <w:gridSpan w:val="4"/>
            <w:tcBorders>
              <w:top w:val="single" w:color="auto" w:sz="4" w:space="0"/>
              <w:left w:val="single" w:color="auto" w:sz="4" w:space="0"/>
              <w:bottom w:val="single" w:color="auto" w:sz="4" w:space="0"/>
              <w:right w:val="single" w:color="auto" w:sz="4" w:space="0"/>
            </w:tcBorders>
            <w:shd w:val="clear" w:color="auto" w:fill="auto"/>
            <w:vAlign w:val="center"/>
          </w:tcPr>
          <w:p w14:paraId="50F805AB">
            <w:pPr>
              <w:overflowPunct w:val="0"/>
              <w:adjustRightInd w:val="0"/>
              <w:snapToGrid w:val="0"/>
              <w:jc w:val="center"/>
              <w:rPr>
                <w:rFonts w:hint="eastAsia" w:ascii="宋体" w:hAnsi="宋体" w:eastAsia="宋体" w:cs="宋体"/>
                <w:b w:val="0"/>
                <w:bCs/>
                <w:snapToGrid w:val="0"/>
                <w:kern w:val="21"/>
                <w:szCs w:val="21"/>
                <w:highlight w:val="none"/>
              </w:rPr>
            </w:pPr>
            <w:r>
              <w:rPr>
                <w:rFonts w:hint="eastAsia" w:ascii="楷体_GB2312" w:hAnsi="楷体_GB2312" w:eastAsia="楷体_GB2312" w:cs="楷体_GB2312"/>
                <w:b w:val="0"/>
                <w:bCs/>
                <w:snapToGrid w:val="0"/>
                <w:kern w:val="21"/>
                <w:sz w:val="24"/>
                <w:szCs w:val="24"/>
                <w:highlight w:val="none"/>
                <w:lang w:val="en-US" w:eastAsia="zh-CN"/>
              </w:rPr>
              <w:t>二、百姓富（7项）</w:t>
            </w:r>
          </w:p>
        </w:tc>
      </w:tr>
      <w:tr w14:paraId="7D879D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4" w:hRule="atLeast"/>
          <w:jc w:val="center"/>
        </w:trPr>
        <w:tc>
          <w:tcPr>
            <w:tcW w:w="410" w:type="pct"/>
            <w:tcBorders>
              <w:top w:val="single" w:color="auto" w:sz="4" w:space="0"/>
              <w:left w:val="single" w:color="auto" w:sz="4" w:space="0"/>
              <w:bottom w:val="single" w:color="auto" w:sz="4" w:space="0"/>
              <w:right w:val="single" w:color="auto" w:sz="4" w:space="0"/>
            </w:tcBorders>
            <w:shd w:val="clear" w:color="auto" w:fill="auto"/>
            <w:vAlign w:val="center"/>
          </w:tcPr>
          <w:p w14:paraId="24D9C3AF">
            <w:pPr>
              <w:overflowPunct w:val="0"/>
              <w:topLinePunct/>
              <w:spacing w:line="420" w:lineRule="exact"/>
              <w:jc w:val="center"/>
              <w:textAlignment w:val="center"/>
              <w:rPr>
                <w:rFonts w:hint="default" w:ascii="宋体" w:hAnsi="宋体" w:eastAsia="宋体" w:cs="宋体"/>
                <w:b w:val="0"/>
                <w:bCs w:val="0"/>
                <w:kern w:val="21"/>
                <w:sz w:val="21"/>
                <w:szCs w:val="21"/>
                <w:highlight w:val="none"/>
                <w:lang w:val="en-US" w:eastAsia="zh-CN" w:bidi="ar-SA"/>
              </w:rPr>
            </w:pPr>
            <w:r>
              <w:rPr>
                <w:rFonts w:hint="eastAsia" w:ascii="宋体" w:hAnsi="宋体" w:eastAsia="宋体" w:cs="宋体"/>
                <w:b w:val="0"/>
                <w:bCs w:val="0"/>
                <w:kern w:val="21"/>
                <w:szCs w:val="21"/>
                <w:highlight w:val="none"/>
                <w:lang w:val="en-US" w:eastAsia="zh-CN" w:bidi="ar"/>
              </w:rPr>
              <w:t>13</w:t>
            </w:r>
          </w:p>
        </w:tc>
        <w:tc>
          <w:tcPr>
            <w:tcW w:w="2505" w:type="pct"/>
            <w:tcBorders>
              <w:top w:val="single" w:color="auto" w:sz="4" w:space="0"/>
              <w:left w:val="single" w:color="auto" w:sz="4" w:space="0"/>
              <w:bottom w:val="single" w:color="auto" w:sz="4" w:space="0"/>
              <w:right w:val="single" w:color="auto" w:sz="4" w:space="0"/>
            </w:tcBorders>
            <w:shd w:val="clear" w:color="auto" w:fill="auto"/>
            <w:vAlign w:val="center"/>
          </w:tcPr>
          <w:p w14:paraId="4F81A3DF">
            <w:pPr>
              <w:overflowPunct w:val="0"/>
              <w:adjustRightInd w:val="0"/>
              <w:snapToGrid w:val="0"/>
              <w:jc w:val="center"/>
              <w:rPr>
                <w:rFonts w:hint="eastAsia" w:ascii="宋体" w:hAnsi="宋体" w:eastAsia="宋体" w:cs="宋体"/>
                <w:b w:val="0"/>
                <w:bCs w:val="0"/>
                <w:snapToGrid w:val="0"/>
                <w:kern w:val="21"/>
                <w:sz w:val="21"/>
                <w:szCs w:val="21"/>
                <w:highlight w:val="none"/>
                <w:lang w:val="en-US" w:eastAsia="zh-CN" w:bidi="ar-SA"/>
              </w:rPr>
            </w:pPr>
            <w:r>
              <w:rPr>
                <w:rFonts w:hint="eastAsia" w:ascii="宋体" w:hAnsi="宋体" w:eastAsia="宋体" w:cs="宋体"/>
                <w:b w:val="0"/>
                <w:bCs w:val="0"/>
                <w:snapToGrid w:val="0"/>
                <w:kern w:val="21"/>
                <w:szCs w:val="21"/>
                <w:highlight w:val="none"/>
              </w:rPr>
              <w:t>居民人均可支配收入年均增速（%）</w:t>
            </w:r>
          </w:p>
        </w:tc>
        <w:tc>
          <w:tcPr>
            <w:tcW w:w="1376" w:type="pct"/>
            <w:tcBorders>
              <w:top w:val="single" w:color="auto" w:sz="4" w:space="0"/>
              <w:left w:val="single" w:color="auto" w:sz="4" w:space="0"/>
              <w:bottom w:val="single" w:color="auto" w:sz="4" w:space="0"/>
              <w:right w:val="single" w:color="auto" w:sz="4" w:space="0"/>
            </w:tcBorders>
            <w:shd w:val="clear" w:color="auto" w:fill="auto"/>
            <w:vAlign w:val="center"/>
          </w:tcPr>
          <w:p w14:paraId="5EC651E2">
            <w:pPr>
              <w:overflowPunct w:val="0"/>
              <w:adjustRightInd w:val="0"/>
              <w:snapToGrid w:val="0"/>
              <w:jc w:val="center"/>
              <w:rPr>
                <w:rFonts w:hint="eastAsia" w:ascii="宋体" w:hAnsi="宋体" w:eastAsia="宋体" w:cs="宋体"/>
                <w:b w:val="0"/>
                <w:bCs w:val="0"/>
                <w:snapToGrid w:val="0"/>
                <w:kern w:val="21"/>
                <w:sz w:val="21"/>
                <w:szCs w:val="21"/>
                <w:highlight w:val="none"/>
                <w:lang w:val="en-US" w:eastAsia="zh-CN" w:bidi="ar-SA"/>
              </w:rPr>
            </w:pPr>
            <w:r>
              <w:rPr>
                <w:rFonts w:hint="eastAsia" w:ascii="宋体" w:hAnsi="宋体" w:eastAsia="宋体" w:cs="宋体"/>
                <w:b w:val="0"/>
                <w:bCs w:val="0"/>
                <w:color w:val="000000"/>
                <w:kern w:val="21"/>
                <w:szCs w:val="21"/>
                <w:highlight w:val="none"/>
                <w:lang w:bidi="ar"/>
              </w:rPr>
              <w:t>与GDP</w:t>
            </w:r>
            <w:r>
              <w:rPr>
                <w:rFonts w:hint="eastAsia" w:ascii="宋体" w:hAnsi="宋体" w:eastAsia="宋体" w:cs="宋体"/>
                <w:b w:val="0"/>
                <w:bCs w:val="0"/>
                <w:color w:val="000000"/>
                <w:kern w:val="21"/>
                <w:szCs w:val="21"/>
                <w:highlight w:val="none"/>
                <w:lang w:eastAsia="zh-CN" w:bidi="ar"/>
              </w:rPr>
              <w:t>增长同步</w:t>
            </w:r>
          </w:p>
        </w:tc>
        <w:tc>
          <w:tcPr>
            <w:tcW w:w="707" w:type="pct"/>
            <w:tcBorders>
              <w:top w:val="single" w:color="auto" w:sz="4" w:space="0"/>
              <w:left w:val="single" w:color="auto" w:sz="4" w:space="0"/>
              <w:bottom w:val="single" w:color="auto" w:sz="4" w:space="0"/>
              <w:right w:val="single" w:color="auto" w:sz="4" w:space="0"/>
            </w:tcBorders>
            <w:vAlign w:val="center"/>
          </w:tcPr>
          <w:p w14:paraId="645D03B1">
            <w:pPr>
              <w:overflowPunct w:val="0"/>
              <w:adjustRightInd w:val="0"/>
              <w:snapToGrid w:val="0"/>
              <w:jc w:val="center"/>
              <w:rPr>
                <w:rFonts w:hint="eastAsia" w:ascii="宋体" w:hAnsi="宋体" w:eastAsia="宋体" w:cs="宋体"/>
                <w:b w:val="0"/>
                <w:bCs/>
                <w:kern w:val="21"/>
                <w:szCs w:val="21"/>
                <w:highlight w:val="none"/>
                <w:lang w:bidi="ar"/>
              </w:rPr>
            </w:pPr>
            <w:r>
              <w:rPr>
                <w:rFonts w:hint="eastAsia" w:ascii="宋体" w:hAnsi="宋体" w:eastAsia="宋体" w:cs="宋体"/>
                <w:b w:val="0"/>
                <w:bCs/>
                <w:snapToGrid w:val="0"/>
                <w:kern w:val="21"/>
                <w:szCs w:val="21"/>
                <w:highlight w:val="none"/>
              </w:rPr>
              <w:t>预期性</w:t>
            </w:r>
          </w:p>
        </w:tc>
      </w:tr>
      <w:tr w14:paraId="4EB801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4" w:hRule="atLeast"/>
          <w:jc w:val="center"/>
        </w:trPr>
        <w:tc>
          <w:tcPr>
            <w:tcW w:w="410" w:type="pct"/>
            <w:tcBorders>
              <w:top w:val="single" w:color="auto" w:sz="4" w:space="0"/>
              <w:left w:val="single" w:color="auto" w:sz="4" w:space="0"/>
              <w:bottom w:val="single" w:color="auto" w:sz="4" w:space="0"/>
              <w:right w:val="single" w:color="auto" w:sz="4" w:space="0"/>
            </w:tcBorders>
            <w:shd w:val="clear" w:color="auto" w:fill="auto"/>
            <w:vAlign w:val="center"/>
          </w:tcPr>
          <w:p w14:paraId="7920D677">
            <w:pPr>
              <w:overflowPunct w:val="0"/>
              <w:topLinePunct/>
              <w:spacing w:line="420" w:lineRule="exact"/>
              <w:jc w:val="center"/>
              <w:textAlignment w:val="center"/>
              <w:rPr>
                <w:rFonts w:hint="default" w:ascii="宋体" w:hAnsi="宋体" w:eastAsia="宋体" w:cs="宋体"/>
                <w:b w:val="0"/>
                <w:bCs w:val="0"/>
                <w:kern w:val="21"/>
                <w:sz w:val="21"/>
                <w:szCs w:val="21"/>
                <w:highlight w:val="none"/>
                <w:lang w:val="en-US" w:eastAsia="zh-CN" w:bidi="ar"/>
              </w:rPr>
            </w:pPr>
            <w:r>
              <w:rPr>
                <w:rFonts w:hint="eastAsia" w:ascii="宋体" w:hAnsi="宋体" w:eastAsia="宋体" w:cs="宋体"/>
                <w:b w:val="0"/>
                <w:bCs w:val="0"/>
                <w:kern w:val="21"/>
                <w:szCs w:val="21"/>
                <w:highlight w:val="none"/>
                <w:lang w:val="en-US" w:eastAsia="zh-CN" w:bidi="ar"/>
              </w:rPr>
              <w:t>14</w:t>
            </w:r>
          </w:p>
        </w:tc>
        <w:tc>
          <w:tcPr>
            <w:tcW w:w="2505" w:type="pct"/>
            <w:tcBorders>
              <w:top w:val="single" w:color="auto" w:sz="4" w:space="0"/>
              <w:left w:val="single" w:color="auto" w:sz="4" w:space="0"/>
              <w:bottom w:val="single" w:color="auto" w:sz="4" w:space="0"/>
              <w:right w:val="single" w:color="auto" w:sz="4" w:space="0"/>
            </w:tcBorders>
            <w:shd w:val="clear" w:color="auto" w:fill="auto"/>
            <w:vAlign w:val="center"/>
          </w:tcPr>
          <w:p w14:paraId="4A7D076E">
            <w:pPr>
              <w:overflowPunct w:val="0"/>
              <w:adjustRightInd w:val="0"/>
              <w:snapToGrid w:val="0"/>
              <w:jc w:val="center"/>
              <w:rPr>
                <w:rFonts w:hint="eastAsia" w:ascii="宋体" w:hAnsi="宋体" w:eastAsia="宋体" w:cs="宋体"/>
                <w:b w:val="0"/>
                <w:bCs w:val="0"/>
                <w:snapToGrid w:val="0"/>
                <w:kern w:val="21"/>
                <w:sz w:val="21"/>
                <w:szCs w:val="21"/>
                <w:highlight w:val="none"/>
                <w:lang w:val="en-US" w:eastAsia="zh-CN" w:bidi="ar-SA"/>
              </w:rPr>
            </w:pPr>
            <w:r>
              <w:rPr>
                <w:rFonts w:hint="eastAsia" w:ascii="宋体" w:hAnsi="宋体" w:eastAsia="宋体" w:cs="宋体"/>
                <w:b w:val="0"/>
                <w:bCs w:val="0"/>
                <w:snapToGrid w:val="0"/>
                <w:kern w:val="21"/>
                <w:szCs w:val="21"/>
                <w:highlight w:val="none"/>
              </w:rPr>
              <w:t>城镇新增就业人数（万人）</w:t>
            </w:r>
          </w:p>
        </w:tc>
        <w:tc>
          <w:tcPr>
            <w:tcW w:w="1376" w:type="pct"/>
            <w:tcBorders>
              <w:top w:val="single" w:color="auto" w:sz="4" w:space="0"/>
              <w:left w:val="single" w:color="auto" w:sz="4" w:space="0"/>
              <w:bottom w:val="single" w:color="auto" w:sz="4" w:space="0"/>
              <w:right w:val="single" w:color="auto" w:sz="4" w:space="0"/>
            </w:tcBorders>
            <w:shd w:val="clear" w:color="auto" w:fill="auto"/>
            <w:vAlign w:val="center"/>
          </w:tcPr>
          <w:p w14:paraId="7AEA4434">
            <w:pPr>
              <w:overflowPunct w:val="0"/>
              <w:adjustRightInd w:val="0"/>
              <w:snapToGrid w:val="0"/>
              <w:jc w:val="center"/>
              <w:rPr>
                <w:rFonts w:hint="eastAsia" w:ascii="宋体" w:hAnsi="宋体" w:eastAsia="宋体" w:cs="宋体"/>
                <w:b w:val="0"/>
                <w:bCs w:val="0"/>
                <w:snapToGrid w:val="0"/>
                <w:kern w:val="21"/>
                <w:sz w:val="21"/>
                <w:szCs w:val="21"/>
                <w:highlight w:val="none"/>
                <w:lang w:val="en-US" w:eastAsia="zh-CN" w:bidi="ar-SA"/>
              </w:rPr>
            </w:pPr>
            <w:r>
              <w:rPr>
                <w:rFonts w:hint="eastAsia" w:ascii="宋体" w:hAnsi="宋体" w:eastAsia="宋体" w:cs="宋体"/>
                <w:b w:val="0"/>
                <w:bCs w:val="0"/>
                <w:snapToGrid w:val="0"/>
                <w:kern w:val="21"/>
                <w:szCs w:val="21"/>
                <w:highlight w:val="none"/>
                <w:lang w:val="en-US" w:eastAsia="zh-CN"/>
              </w:rPr>
              <w:t>20</w:t>
            </w:r>
          </w:p>
        </w:tc>
        <w:tc>
          <w:tcPr>
            <w:tcW w:w="707" w:type="pct"/>
            <w:tcBorders>
              <w:top w:val="single" w:color="auto" w:sz="4" w:space="0"/>
              <w:left w:val="single" w:color="auto" w:sz="4" w:space="0"/>
              <w:bottom w:val="single" w:color="auto" w:sz="4" w:space="0"/>
              <w:right w:val="single" w:color="auto" w:sz="4" w:space="0"/>
            </w:tcBorders>
            <w:vAlign w:val="center"/>
          </w:tcPr>
          <w:p w14:paraId="0FC9546D">
            <w:pPr>
              <w:overflowPunct w:val="0"/>
              <w:adjustRightInd w:val="0"/>
              <w:snapToGrid w:val="0"/>
              <w:jc w:val="center"/>
              <w:rPr>
                <w:rFonts w:hint="eastAsia" w:ascii="宋体" w:hAnsi="宋体" w:eastAsia="宋体" w:cs="宋体"/>
                <w:b w:val="0"/>
                <w:bCs/>
                <w:snapToGrid w:val="0"/>
                <w:kern w:val="21"/>
                <w:szCs w:val="21"/>
                <w:highlight w:val="none"/>
              </w:rPr>
            </w:pPr>
            <w:r>
              <w:rPr>
                <w:rFonts w:hint="eastAsia" w:ascii="宋体" w:hAnsi="宋体" w:eastAsia="宋体" w:cs="宋体"/>
                <w:b w:val="0"/>
                <w:bCs/>
                <w:snapToGrid w:val="0"/>
                <w:kern w:val="21"/>
                <w:szCs w:val="21"/>
                <w:highlight w:val="none"/>
              </w:rPr>
              <w:t>预期性</w:t>
            </w:r>
          </w:p>
        </w:tc>
      </w:tr>
      <w:tr w14:paraId="3D9B20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4" w:hRule="atLeast"/>
          <w:jc w:val="center"/>
        </w:trPr>
        <w:tc>
          <w:tcPr>
            <w:tcW w:w="410" w:type="pct"/>
            <w:tcBorders>
              <w:top w:val="single" w:color="auto" w:sz="4" w:space="0"/>
              <w:left w:val="single" w:color="auto" w:sz="4" w:space="0"/>
              <w:bottom w:val="single" w:color="auto" w:sz="4" w:space="0"/>
              <w:right w:val="single" w:color="auto" w:sz="4" w:space="0"/>
            </w:tcBorders>
            <w:shd w:val="clear" w:color="auto" w:fill="auto"/>
            <w:vAlign w:val="center"/>
          </w:tcPr>
          <w:p w14:paraId="2E8F92B6">
            <w:pPr>
              <w:overflowPunct w:val="0"/>
              <w:topLinePunct/>
              <w:spacing w:line="420" w:lineRule="exact"/>
              <w:jc w:val="center"/>
              <w:textAlignment w:val="center"/>
              <w:rPr>
                <w:rFonts w:hint="default" w:ascii="宋体" w:hAnsi="宋体" w:eastAsia="宋体" w:cs="宋体"/>
                <w:b w:val="0"/>
                <w:bCs w:val="0"/>
                <w:kern w:val="21"/>
                <w:sz w:val="21"/>
                <w:szCs w:val="21"/>
                <w:highlight w:val="none"/>
                <w:lang w:val="en-US" w:eastAsia="zh-CN" w:bidi="ar"/>
              </w:rPr>
            </w:pPr>
            <w:r>
              <w:rPr>
                <w:rFonts w:hint="eastAsia" w:ascii="宋体" w:hAnsi="宋体" w:eastAsia="宋体" w:cs="宋体"/>
                <w:b w:val="0"/>
                <w:bCs w:val="0"/>
                <w:kern w:val="21"/>
                <w:szCs w:val="21"/>
                <w:highlight w:val="none"/>
                <w:lang w:val="en-US" w:eastAsia="zh-CN" w:bidi="ar"/>
              </w:rPr>
              <w:t>15</w:t>
            </w:r>
          </w:p>
        </w:tc>
        <w:tc>
          <w:tcPr>
            <w:tcW w:w="2505" w:type="pct"/>
            <w:tcBorders>
              <w:top w:val="single" w:color="auto" w:sz="4" w:space="0"/>
              <w:left w:val="single" w:color="auto" w:sz="4" w:space="0"/>
              <w:bottom w:val="single" w:color="auto" w:sz="4" w:space="0"/>
              <w:right w:val="single" w:color="auto" w:sz="4" w:space="0"/>
            </w:tcBorders>
            <w:shd w:val="clear" w:color="auto" w:fill="auto"/>
            <w:vAlign w:val="center"/>
          </w:tcPr>
          <w:p w14:paraId="38936B52">
            <w:pPr>
              <w:overflowPunct w:val="0"/>
              <w:adjustRightInd w:val="0"/>
              <w:snapToGrid w:val="0"/>
              <w:jc w:val="center"/>
              <w:rPr>
                <w:rFonts w:hint="eastAsia" w:ascii="宋体" w:hAnsi="宋体" w:eastAsia="宋体" w:cs="宋体"/>
                <w:b w:val="0"/>
                <w:bCs w:val="0"/>
                <w:snapToGrid w:val="0"/>
                <w:kern w:val="21"/>
                <w:sz w:val="21"/>
                <w:szCs w:val="21"/>
                <w:highlight w:val="none"/>
                <w:lang w:val="en-US" w:eastAsia="zh-CN" w:bidi="ar-SA"/>
              </w:rPr>
            </w:pPr>
            <w:r>
              <w:rPr>
                <w:rFonts w:hint="eastAsia" w:ascii="宋体" w:hAnsi="宋体" w:eastAsia="宋体" w:cs="宋体"/>
                <w:b w:val="0"/>
                <w:bCs w:val="0"/>
                <w:snapToGrid w:val="0"/>
                <w:kern w:val="21"/>
                <w:szCs w:val="21"/>
                <w:highlight w:val="none"/>
              </w:rPr>
              <w:t>普通高中招生</w:t>
            </w:r>
            <w:r>
              <w:rPr>
                <w:rFonts w:hint="eastAsia" w:ascii="宋体" w:hAnsi="宋体" w:eastAsia="宋体" w:cs="宋体"/>
                <w:b w:val="0"/>
                <w:bCs w:val="0"/>
                <w:snapToGrid w:val="0"/>
                <w:kern w:val="21"/>
                <w:szCs w:val="21"/>
                <w:highlight w:val="none"/>
                <w:lang w:val="en-US" w:eastAsia="zh-CN"/>
              </w:rPr>
              <w:t>计划</w:t>
            </w:r>
            <w:r>
              <w:rPr>
                <w:rFonts w:hint="eastAsia" w:ascii="宋体" w:hAnsi="宋体" w:eastAsia="宋体" w:cs="宋体"/>
                <w:b w:val="0"/>
                <w:bCs w:val="0"/>
                <w:snapToGrid w:val="0"/>
                <w:kern w:val="21"/>
                <w:szCs w:val="21"/>
                <w:highlight w:val="none"/>
              </w:rPr>
              <w:t>占比（%）</w:t>
            </w:r>
          </w:p>
        </w:tc>
        <w:tc>
          <w:tcPr>
            <w:tcW w:w="1376" w:type="pct"/>
            <w:tcBorders>
              <w:top w:val="single" w:color="auto" w:sz="4" w:space="0"/>
              <w:left w:val="single" w:color="auto" w:sz="4" w:space="0"/>
              <w:bottom w:val="single" w:color="auto" w:sz="4" w:space="0"/>
              <w:right w:val="single" w:color="auto" w:sz="4" w:space="0"/>
            </w:tcBorders>
            <w:shd w:val="clear" w:color="auto" w:fill="auto"/>
            <w:vAlign w:val="center"/>
          </w:tcPr>
          <w:p w14:paraId="41FE5D05">
            <w:pPr>
              <w:overflowPunct w:val="0"/>
              <w:adjustRightInd w:val="0"/>
              <w:snapToGrid w:val="0"/>
              <w:jc w:val="center"/>
              <w:rPr>
                <w:rFonts w:hint="eastAsia" w:ascii="宋体" w:hAnsi="宋体" w:eastAsia="宋体" w:cs="宋体"/>
                <w:b w:val="0"/>
                <w:bCs w:val="0"/>
                <w:snapToGrid w:val="0"/>
                <w:kern w:val="21"/>
                <w:sz w:val="21"/>
                <w:szCs w:val="21"/>
                <w:highlight w:val="none"/>
                <w:lang w:val="en-US" w:eastAsia="zh-CN" w:bidi="ar-SA"/>
              </w:rPr>
            </w:pPr>
            <w:r>
              <w:rPr>
                <w:rFonts w:hint="eastAsia" w:ascii="宋体" w:hAnsi="宋体" w:eastAsia="宋体" w:cs="宋体"/>
                <w:b w:val="0"/>
                <w:bCs w:val="0"/>
                <w:color w:val="000000"/>
                <w:kern w:val="21"/>
                <w:szCs w:val="21"/>
                <w:highlight w:val="none"/>
                <w:lang w:val="en-US" w:eastAsia="zh-CN" w:bidi="ar"/>
              </w:rPr>
              <w:t>＞80</w:t>
            </w:r>
          </w:p>
        </w:tc>
        <w:tc>
          <w:tcPr>
            <w:tcW w:w="707" w:type="pct"/>
            <w:tcBorders>
              <w:top w:val="single" w:color="auto" w:sz="4" w:space="0"/>
              <w:left w:val="single" w:color="auto" w:sz="4" w:space="0"/>
              <w:bottom w:val="single" w:color="auto" w:sz="4" w:space="0"/>
              <w:right w:val="single" w:color="auto" w:sz="4" w:space="0"/>
            </w:tcBorders>
            <w:vAlign w:val="center"/>
          </w:tcPr>
          <w:p w14:paraId="6731C869">
            <w:pPr>
              <w:overflowPunct w:val="0"/>
              <w:adjustRightInd w:val="0"/>
              <w:snapToGrid w:val="0"/>
              <w:jc w:val="center"/>
              <w:rPr>
                <w:rFonts w:hint="eastAsia" w:ascii="宋体" w:hAnsi="宋体" w:eastAsia="宋体" w:cs="宋体"/>
                <w:b w:val="0"/>
                <w:bCs/>
                <w:kern w:val="21"/>
                <w:szCs w:val="21"/>
                <w:highlight w:val="none"/>
                <w:lang w:bidi="ar"/>
              </w:rPr>
            </w:pPr>
            <w:r>
              <w:rPr>
                <w:rFonts w:hint="eastAsia" w:ascii="宋体" w:hAnsi="宋体" w:eastAsia="宋体" w:cs="宋体"/>
                <w:b w:val="0"/>
                <w:bCs/>
                <w:snapToGrid w:val="0"/>
                <w:kern w:val="21"/>
                <w:szCs w:val="21"/>
                <w:highlight w:val="none"/>
              </w:rPr>
              <w:t>预期性</w:t>
            </w:r>
          </w:p>
        </w:tc>
      </w:tr>
      <w:tr w14:paraId="1D0A64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4" w:hRule="atLeast"/>
          <w:jc w:val="center"/>
        </w:trPr>
        <w:tc>
          <w:tcPr>
            <w:tcW w:w="410" w:type="pct"/>
            <w:tcBorders>
              <w:top w:val="single" w:color="auto" w:sz="4" w:space="0"/>
              <w:left w:val="single" w:color="auto" w:sz="4" w:space="0"/>
              <w:bottom w:val="single" w:color="auto" w:sz="4" w:space="0"/>
              <w:right w:val="single" w:color="auto" w:sz="4" w:space="0"/>
            </w:tcBorders>
            <w:shd w:val="clear" w:color="auto" w:fill="auto"/>
            <w:vAlign w:val="center"/>
          </w:tcPr>
          <w:p w14:paraId="48EEA2DB">
            <w:pPr>
              <w:overflowPunct w:val="0"/>
              <w:topLinePunct/>
              <w:spacing w:line="420" w:lineRule="exact"/>
              <w:jc w:val="center"/>
              <w:textAlignment w:val="center"/>
              <w:rPr>
                <w:rFonts w:hint="default" w:ascii="宋体" w:hAnsi="宋体" w:eastAsia="宋体" w:cs="宋体"/>
                <w:b w:val="0"/>
                <w:bCs w:val="0"/>
                <w:kern w:val="21"/>
                <w:sz w:val="21"/>
                <w:szCs w:val="21"/>
                <w:highlight w:val="none"/>
                <w:lang w:val="en-US" w:eastAsia="zh-CN" w:bidi="ar"/>
              </w:rPr>
            </w:pPr>
            <w:r>
              <w:rPr>
                <w:rFonts w:hint="eastAsia" w:ascii="宋体" w:hAnsi="宋体" w:eastAsia="宋体" w:cs="宋体"/>
                <w:b w:val="0"/>
                <w:bCs w:val="0"/>
                <w:kern w:val="21"/>
                <w:szCs w:val="21"/>
                <w:highlight w:val="none"/>
                <w:lang w:val="en-US" w:eastAsia="zh-CN" w:bidi="ar"/>
              </w:rPr>
              <w:t>16</w:t>
            </w:r>
          </w:p>
        </w:tc>
        <w:tc>
          <w:tcPr>
            <w:tcW w:w="2505" w:type="pct"/>
            <w:tcBorders>
              <w:top w:val="single" w:color="auto" w:sz="4" w:space="0"/>
              <w:left w:val="single" w:color="auto" w:sz="4" w:space="0"/>
              <w:bottom w:val="single" w:color="auto" w:sz="4" w:space="0"/>
              <w:right w:val="single" w:color="auto" w:sz="4" w:space="0"/>
            </w:tcBorders>
            <w:shd w:val="clear" w:color="auto" w:fill="auto"/>
            <w:vAlign w:val="center"/>
          </w:tcPr>
          <w:p w14:paraId="3A6B177C">
            <w:pPr>
              <w:overflowPunct w:val="0"/>
              <w:adjustRightInd w:val="0"/>
              <w:snapToGrid w:val="0"/>
              <w:jc w:val="center"/>
              <w:rPr>
                <w:rFonts w:hint="eastAsia" w:ascii="宋体" w:hAnsi="宋体" w:eastAsia="宋体" w:cs="宋体"/>
                <w:b w:val="0"/>
                <w:bCs w:val="0"/>
                <w:snapToGrid w:val="0"/>
                <w:kern w:val="21"/>
                <w:sz w:val="21"/>
                <w:szCs w:val="21"/>
                <w:highlight w:val="none"/>
                <w:lang w:val="en-US" w:eastAsia="zh-CN" w:bidi="ar-SA"/>
              </w:rPr>
            </w:pPr>
            <w:r>
              <w:rPr>
                <w:rFonts w:hint="eastAsia" w:ascii="宋体" w:hAnsi="宋体" w:eastAsia="宋体" w:cs="宋体"/>
                <w:b w:val="0"/>
                <w:bCs w:val="0"/>
                <w:snapToGrid w:val="0"/>
                <w:kern w:val="21"/>
                <w:szCs w:val="21"/>
                <w:highlight w:val="none"/>
              </w:rPr>
              <w:t>3岁以下婴幼儿入托率（%）</w:t>
            </w:r>
          </w:p>
        </w:tc>
        <w:tc>
          <w:tcPr>
            <w:tcW w:w="1376" w:type="pct"/>
            <w:tcBorders>
              <w:top w:val="single" w:color="auto" w:sz="4" w:space="0"/>
              <w:left w:val="single" w:color="auto" w:sz="4" w:space="0"/>
              <w:bottom w:val="single" w:color="auto" w:sz="4" w:space="0"/>
              <w:right w:val="single" w:color="auto" w:sz="4" w:space="0"/>
            </w:tcBorders>
            <w:shd w:val="clear" w:color="auto" w:fill="auto"/>
            <w:vAlign w:val="center"/>
          </w:tcPr>
          <w:p w14:paraId="44E0FFBB">
            <w:pPr>
              <w:overflowPunct w:val="0"/>
              <w:adjustRightInd w:val="0"/>
              <w:snapToGrid w:val="0"/>
              <w:jc w:val="center"/>
              <w:rPr>
                <w:rFonts w:hint="eastAsia" w:ascii="宋体" w:hAnsi="宋体" w:eastAsia="宋体" w:cs="宋体"/>
                <w:b w:val="0"/>
                <w:bCs w:val="0"/>
                <w:color w:val="000000"/>
                <w:kern w:val="21"/>
                <w:sz w:val="21"/>
                <w:szCs w:val="21"/>
                <w:highlight w:val="none"/>
                <w:lang w:val="en-US" w:eastAsia="zh-CN" w:bidi="ar"/>
              </w:rPr>
            </w:pPr>
            <w:r>
              <w:rPr>
                <w:rFonts w:hint="eastAsia" w:ascii="宋体" w:hAnsi="宋体" w:eastAsia="宋体" w:cs="宋体"/>
                <w:b w:val="0"/>
                <w:bCs w:val="0"/>
                <w:color w:val="000000"/>
                <w:kern w:val="21"/>
                <w:szCs w:val="21"/>
                <w:highlight w:val="none"/>
                <w:lang w:val="en-US" w:eastAsia="zh-CN" w:bidi="ar"/>
              </w:rPr>
              <w:t>26</w:t>
            </w:r>
          </w:p>
        </w:tc>
        <w:tc>
          <w:tcPr>
            <w:tcW w:w="707" w:type="pct"/>
            <w:tcBorders>
              <w:top w:val="single" w:color="auto" w:sz="4" w:space="0"/>
              <w:left w:val="single" w:color="auto" w:sz="4" w:space="0"/>
              <w:bottom w:val="single" w:color="auto" w:sz="4" w:space="0"/>
              <w:right w:val="single" w:color="auto" w:sz="4" w:space="0"/>
            </w:tcBorders>
            <w:vAlign w:val="center"/>
          </w:tcPr>
          <w:p w14:paraId="4D98AAC6">
            <w:pPr>
              <w:overflowPunct w:val="0"/>
              <w:adjustRightInd w:val="0"/>
              <w:snapToGrid w:val="0"/>
              <w:jc w:val="center"/>
              <w:rPr>
                <w:rFonts w:hint="eastAsia" w:ascii="宋体" w:hAnsi="宋体" w:eastAsia="宋体" w:cs="宋体"/>
                <w:b w:val="0"/>
                <w:bCs/>
                <w:kern w:val="21"/>
                <w:szCs w:val="21"/>
                <w:highlight w:val="none"/>
                <w:lang w:bidi="ar"/>
              </w:rPr>
            </w:pPr>
            <w:r>
              <w:rPr>
                <w:rFonts w:hint="eastAsia" w:ascii="宋体" w:hAnsi="宋体" w:eastAsia="宋体" w:cs="宋体"/>
                <w:b w:val="0"/>
                <w:bCs/>
                <w:snapToGrid w:val="0"/>
                <w:kern w:val="21"/>
                <w:szCs w:val="21"/>
                <w:highlight w:val="none"/>
              </w:rPr>
              <w:t>预期性</w:t>
            </w:r>
          </w:p>
        </w:tc>
      </w:tr>
      <w:tr w14:paraId="71E7BB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4" w:hRule="atLeast"/>
          <w:jc w:val="center"/>
        </w:trPr>
        <w:tc>
          <w:tcPr>
            <w:tcW w:w="410" w:type="pct"/>
            <w:tcBorders>
              <w:top w:val="single" w:color="auto" w:sz="4" w:space="0"/>
              <w:left w:val="single" w:color="auto" w:sz="4" w:space="0"/>
              <w:bottom w:val="single" w:color="auto" w:sz="4" w:space="0"/>
              <w:right w:val="single" w:color="auto" w:sz="4" w:space="0"/>
            </w:tcBorders>
            <w:shd w:val="clear" w:color="auto" w:fill="auto"/>
            <w:vAlign w:val="center"/>
          </w:tcPr>
          <w:p w14:paraId="5035D0DE">
            <w:pPr>
              <w:overflowPunct w:val="0"/>
              <w:topLinePunct/>
              <w:spacing w:line="420" w:lineRule="exact"/>
              <w:jc w:val="center"/>
              <w:textAlignment w:val="center"/>
              <w:rPr>
                <w:rFonts w:hint="default" w:ascii="宋体" w:hAnsi="宋体" w:eastAsia="宋体" w:cs="宋体"/>
                <w:b w:val="0"/>
                <w:bCs w:val="0"/>
                <w:kern w:val="21"/>
                <w:sz w:val="21"/>
                <w:szCs w:val="21"/>
                <w:highlight w:val="none"/>
                <w:lang w:val="en-US" w:eastAsia="zh-CN" w:bidi="ar"/>
              </w:rPr>
            </w:pPr>
            <w:r>
              <w:rPr>
                <w:rFonts w:hint="eastAsia" w:ascii="宋体" w:hAnsi="宋体" w:eastAsia="宋体" w:cs="宋体"/>
                <w:b w:val="0"/>
                <w:bCs w:val="0"/>
                <w:kern w:val="21"/>
                <w:szCs w:val="21"/>
                <w:highlight w:val="none"/>
                <w:lang w:val="en-US" w:eastAsia="zh-CN" w:bidi="ar"/>
              </w:rPr>
              <w:t>17</w:t>
            </w:r>
          </w:p>
        </w:tc>
        <w:tc>
          <w:tcPr>
            <w:tcW w:w="2505" w:type="pct"/>
            <w:tcBorders>
              <w:top w:val="single" w:color="auto" w:sz="4" w:space="0"/>
              <w:left w:val="single" w:color="auto" w:sz="4" w:space="0"/>
              <w:bottom w:val="single" w:color="auto" w:sz="4" w:space="0"/>
              <w:right w:val="single" w:color="auto" w:sz="4" w:space="0"/>
            </w:tcBorders>
            <w:shd w:val="clear" w:color="auto" w:fill="auto"/>
            <w:vAlign w:val="center"/>
          </w:tcPr>
          <w:p w14:paraId="0570EEB5">
            <w:pPr>
              <w:overflowPunct w:val="0"/>
              <w:adjustRightInd w:val="0"/>
              <w:snapToGrid w:val="0"/>
              <w:jc w:val="center"/>
              <w:rPr>
                <w:rFonts w:hint="eastAsia" w:ascii="宋体" w:hAnsi="宋体" w:eastAsia="宋体" w:cs="宋体"/>
                <w:b w:val="0"/>
                <w:bCs w:val="0"/>
                <w:snapToGrid w:val="0"/>
                <w:kern w:val="21"/>
                <w:sz w:val="21"/>
                <w:szCs w:val="21"/>
                <w:highlight w:val="none"/>
                <w:lang w:val="en-US" w:eastAsia="zh-CN" w:bidi="ar-SA"/>
              </w:rPr>
            </w:pPr>
            <w:r>
              <w:rPr>
                <w:rFonts w:hint="eastAsia" w:ascii="宋体" w:hAnsi="宋体" w:eastAsia="宋体" w:cs="宋体"/>
                <w:b w:val="0"/>
                <w:bCs w:val="0"/>
                <w:snapToGrid w:val="0"/>
                <w:kern w:val="21"/>
                <w:szCs w:val="21"/>
                <w:highlight w:val="none"/>
                <w:lang w:val="en-US" w:eastAsia="zh-CN"/>
              </w:rPr>
              <w:t>养老机构护理型床位占比</w:t>
            </w:r>
            <w:r>
              <w:rPr>
                <w:rFonts w:hint="eastAsia" w:ascii="宋体" w:hAnsi="宋体" w:eastAsia="宋体" w:cs="宋体"/>
                <w:b w:val="0"/>
                <w:bCs w:val="0"/>
                <w:snapToGrid w:val="0"/>
                <w:kern w:val="21"/>
                <w:szCs w:val="21"/>
                <w:highlight w:val="none"/>
              </w:rPr>
              <w:t>（%）</w:t>
            </w:r>
          </w:p>
        </w:tc>
        <w:tc>
          <w:tcPr>
            <w:tcW w:w="1376" w:type="pct"/>
            <w:tcBorders>
              <w:top w:val="single" w:color="auto" w:sz="4" w:space="0"/>
              <w:left w:val="single" w:color="auto" w:sz="4" w:space="0"/>
              <w:bottom w:val="single" w:color="auto" w:sz="4" w:space="0"/>
              <w:right w:val="single" w:color="auto" w:sz="4" w:space="0"/>
            </w:tcBorders>
            <w:shd w:val="clear" w:color="auto" w:fill="auto"/>
            <w:vAlign w:val="center"/>
          </w:tcPr>
          <w:p w14:paraId="7CBA7CD4">
            <w:pPr>
              <w:overflowPunct/>
              <w:adjustRightInd/>
              <w:snapToGrid/>
              <w:jc w:val="center"/>
              <w:rPr>
                <w:rFonts w:hint="eastAsia" w:ascii="宋体" w:hAnsi="宋体" w:eastAsia="宋体" w:cs="宋体"/>
                <w:b w:val="0"/>
                <w:bCs w:val="0"/>
                <w:snapToGrid w:val="0"/>
                <w:kern w:val="21"/>
                <w:sz w:val="21"/>
                <w:szCs w:val="21"/>
                <w:highlight w:val="none"/>
                <w:lang w:val="en-US" w:eastAsia="zh-CN" w:bidi="ar-SA"/>
              </w:rPr>
            </w:pPr>
            <w:r>
              <w:rPr>
                <w:rFonts w:hint="eastAsia" w:ascii="宋体" w:hAnsi="宋体" w:eastAsia="宋体" w:cs="宋体"/>
                <w:b w:val="0"/>
                <w:bCs w:val="0"/>
                <w:snapToGrid w:val="0"/>
                <w:kern w:val="21"/>
                <w:szCs w:val="21"/>
                <w:highlight w:val="none"/>
                <w:lang w:val="en-US" w:eastAsia="zh-CN" w:bidi="ar"/>
              </w:rPr>
              <w:t>＞</w:t>
            </w:r>
            <w:r>
              <w:rPr>
                <w:rFonts w:hint="eastAsia" w:ascii="宋体" w:hAnsi="宋体" w:eastAsia="宋体" w:cs="宋体"/>
                <w:b w:val="0"/>
                <w:bCs w:val="0"/>
                <w:snapToGrid w:val="0"/>
                <w:kern w:val="21"/>
                <w:szCs w:val="21"/>
                <w:highlight w:val="none"/>
                <w:lang w:val="en-US" w:eastAsia="zh-CN"/>
              </w:rPr>
              <w:t>80</w:t>
            </w:r>
          </w:p>
        </w:tc>
        <w:tc>
          <w:tcPr>
            <w:tcW w:w="707" w:type="pct"/>
            <w:tcBorders>
              <w:top w:val="single" w:color="auto" w:sz="4" w:space="0"/>
              <w:left w:val="single" w:color="auto" w:sz="4" w:space="0"/>
              <w:bottom w:val="single" w:color="auto" w:sz="4" w:space="0"/>
              <w:right w:val="single" w:color="auto" w:sz="4" w:space="0"/>
            </w:tcBorders>
            <w:vAlign w:val="center"/>
          </w:tcPr>
          <w:p w14:paraId="28F6B6FF">
            <w:pPr>
              <w:overflowPunct w:val="0"/>
              <w:adjustRightInd w:val="0"/>
              <w:snapToGrid w:val="0"/>
              <w:jc w:val="center"/>
              <w:rPr>
                <w:rFonts w:hint="eastAsia" w:ascii="宋体" w:hAnsi="宋体" w:eastAsia="宋体" w:cs="宋体"/>
                <w:b w:val="0"/>
                <w:bCs/>
                <w:kern w:val="21"/>
                <w:szCs w:val="21"/>
                <w:highlight w:val="none"/>
                <w:lang w:bidi="ar"/>
              </w:rPr>
            </w:pPr>
            <w:r>
              <w:rPr>
                <w:rFonts w:hint="eastAsia" w:ascii="宋体" w:hAnsi="宋体" w:eastAsia="宋体" w:cs="宋体"/>
                <w:b w:val="0"/>
                <w:bCs/>
                <w:snapToGrid w:val="0"/>
                <w:kern w:val="21"/>
                <w:szCs w:val="21"/>
                <w:highlight w:val="none"/>
              </w:rPr>
              <w:t>预期性</w:t>
            </w:r>
          </w:p>
        </w:tc>
      </w:tr>
      <w:tr w14:paraId="767C68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4" w:hRule="atLeast"/>
          <w:jc w:val="center"/>
        </w:trPr>
        <w:tc>
          <w:tcPr>
            <w:tcW w:w="410" w:type="pct"/>
            <w:tcBorders>
              <w:top w:val="single" w:color="auto" w:sz="4" w:space="0"/>
              <w:left w:val="single" w:color="auto" w:sz="4" w:space="0"/>
              <w:bottom w:val="single" w:color="auto" w:sz="4" w:space="0"/>
              <w:right w:val="single" w:color="auto" w:sz="4" w:space="0"/>
            </w:tcBorders>
            <w:shd w:val="clear" w:color="auto" w:fill="auto"/>
            <w:vAlign w:val="center"/>
          </w:tcPr>
          <w:p w14:paraId="15847A94">
            <w:pPr>
              <w:overflowPunct w:val="0"/>
              <w:topLinePunct/>
              <w:spacing w:line="420" w:lineRule="exact"/>
              <w:jc w:val="center"/>
              <w:textAlignment w:val="center"/>
              <w:rPr>
                <w:rFonts w:hint="default" w:ascii="宋体" w:hAnsi="宋体" w:eastAsia="宋体" w:cs="宋体"/>
                <w:b w:val="0"/>
                <w:bCs w:val="0"/>
                <w:kern w:val="21"/>
                <w:sz w:val="21"/>
                <w:szCs w:val="21"/>
                <w:highlight w:val="none"/>
                <w:lang w:val="en-US" w:eastAsia="zh-CN" w:bidi="ar"/>
              </w:rPr>
            </w:pPr>
            <w:r>
              <w:rPr>
                <w:rFonts w:hint="eastAsia" w:ascii="宋体" w:hAnsi="宋体" w:eastAsia="宋体" w:cs="宋体"/>
                <w:b w:val="0"/>
                <w:bCs w:val="0"/>
                <w:kern w:val="21"/>
                <w:szCs w:val="21"/>
                <w:highlight w:val="none"/>
                <w:lang w:val="en-US" w:eastAsia="zh-CN" w:bidi="ar"/>
              </w:rPr>
              <w:t>18</w:t>
            </w:r>
          </w:p>
        </w:tc>
        <w:tc>
          <w:tcPr>
            <w:tcW w:w="2505" w:type="pct"/>
            <w:tcBorders>
              <w:top w:val="single" w:color="auto" w:sz="4" w:space="0"/>
              <w:left w:val="single" w:color="auto" w:sz="4" w:space="0"/>
              <w:bottom w:val="single" w:color="auto" w:sz="4" w:space="0"/>
              <w:right w:val="single" w:color="auto" w:sz="4" w:space="0"/>
            </w:tcBorders>
            <w:shd w:val="clear" w:color="auto" w:fill="auto"/>
            <w:vAlign w:val="center"/>
          </w:tcPr>
          <w:p w14:paraId="34A73D2B">
            <w:pPr>
              <w:overflowPunct w:val="0"/>
              <w:adjustRightInd w:val="0"/>
              <w:snapToGrid w:val="0"/>
              <w:jc w:val="center"/>
              <w:rPr>
                <w:rFonts w:hint="eastAsia" w:ascii="宋体" w:hAnsi="宋体" w:eastAsia="宋体" w:cs="宋体"/>
                <w:b w:val="0"/>
                <w:bCs w:val="0"/>
                <w:snapToGrid w:val="0"/>
                <w:kern w:val="21"/>
                <w:sz w:val="21"/>
                <w:szCs w:val="21"/>
                <w:highlight w:val="none"/>
                <w:lang w:val="en-US" w:eastAsia="zh-CN" w:bidi="ar-SA"/>
              </w:rPr>
            </w:pPr>
            <w:r>
              <w:rPr>
                <w:rFonts w:hint="eastAsia" w:ascii="宋体" w:hAnsi="宋体" w:eastAsia="宋体" w:cs="宋体"/>
                <w:b w:val="0"/>
                <w:bCs w:val="0"/>
                <w:snapToGrid w:val="0"/>
                <w:kern w:val="21"/>
                <w:szCs w:val="21"/>
                <w:highlight w:val="none"/>
                <w:lang w:val="en-US" w:eastAsia="zh-CN"/>
              </w:rPr>
              <w:t>居民重大慢病过早死亡率（%）</w:t>
            </w:r>
          </w:p>
        </w:tc>
        <w:tc>
          <w:tcPr>
            <w:tcW w:w="1376" w:type="pct"/>
            <w:tcBorders>
              <w:top w:val="single" w:color="auto" w:sz="4" w:space="0"/>
              <w:left w:val="single" w:color="auto" w:sz="4" w:space="0"/>
              <w:bottom w:val="single" w:color="auto" w:sz="4" w:space="0"/>
              <w:right w:val="single" w:color="auto" w:sz="4" w:space="0"/>
            </w:tcBorders>
            <w:shd w:val="clear" w:color="auto" w:fill="auto"/>
            <w:vAlign w:val="center"/>
          </w:tcPr>
          <w:p w14:paraId="0FCC550B">
            <w:pPr>
              <w:overflowPunct w:val="0"/>
              <w:adjustRightInd w:val="0"/>
              <w:snapToGrid w:val="0"/>
              <w:jc w:val="center"/>
              <w:rPr>
                <w:rFonts w:hint="eastAsia" w:ascii="宋体" w:hAnsi="宋体" w:eastAsia="宋体" w:cs="宋体"/>
                <w:b w:val="0"/>
                <w:bCs w:val="0"/>
                <w:snapToGrid w:val="0"/>
                <w:kern w:val="21"/>
                <w:sz w:val="21"/>
                <w:szCs w:val="21"/>
                <w:highlight w:val="none"/>
                <w:lang w:val="en-US" w:eastAsia="zh-CN" w:bidi="ar-SA"/>
              </w:rPr>
            </w:pPr>
            <w:r>
              <w:rPr>
                <w:rFonts w:hint="eastAsia" w:ascii="宋体" w:hAnsi="宋体" w:eastAsia="宋体" w:cs="宋体"/>
                <w:b w:val="0"/>
                <w:bCs w:val="0"/>
                <w:color w:val="000000"/>
                <w:kern w:val="21"/>
                <w:szCs w:val="21"/>
                <w:highlight w:val="none"/>
                <w:lang w:val="en-US" w:eastAsia="zh-CN" w:bidi="ar"/>
              </w:rPr>
              <w:t>＜6</w:t>
            </w:r>
          </w:p>
        </w:tc>
        <w:tc>
          <w:tcPr>
            <w:tcW w:w="707" w:type="pct"/>
            <w:tcBorders>
              <w:top w:val="single" w:color="auto" w:sz="4" w:space="0"/>
              <w:left w:val="single" w:color="auto" w:sz="4" w:space="0"/>
              <w:bottom w:val="single" w:color="auto" w:sz="4" w:space="0"/>
              <w:right w:val="single" w:color="auto" w:sz="4" w:space="0"/>
            </w:tcBorders>
            <w:vAlign w:val="center"/>
          </w:tcPr>
          <w:p w14:paraId="68591E44">
            <w:pPr>
              <w:overflowPunct w:val="0"/>
              <w:adjustRightInd w:val="0"/>
              <w:snapToGrid w:val="0"/>
              <w:jc w:val="center"/>
              <w:rPr>
                <w:rFonts w:hint="eastAsia" w:ascii="宋体" w:hAnsi="宋体" w:eastAsia="宋体" w:cs="宋体"/>
                <w:b w:val="0"/>
                <w:bCs/>
                <w:kern w:val="21"/>
                <w:szCs w:val="21"/>
                <w:highlight w:val="none"/>
                <w:lang w:bidi="ar"/>
              </w:rPr>
            </w:pPr>
            <w:r>
              <w:rPr>
                <w:rFonts w:hint="eastAsia" w:ascii="宋体" w:hAnsi="宋体" w:eastAsia="宋体" w:cs="宋体"/>
                <w:b w:val="0"/>
                <w:bCs/>
                <w:snapToGrid w:val="0"/>
                <w:kern w:val="21"/>
                <w:szCs w:val="21"/>
                <w:highlight w:val="none"/>
              </w:rPr>
              <w:t>预期性</w:t>
            </w:r>
          </w:p>
        </w:tc>
      </w:tr>
      <w:tr w14:paraId="535B19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4" w:hRule="atLeast"/>
          <w:jc w:val="center"/>
        </w:trPr>
        <w:tc>
          <w:tcPr>
            <w:tcW w:w="410" w:type="pct"/>
            <w:tcBorders>
              <w:top w:val="single" w:color="auto" w:sz="4" w:space="0"/>
              <w:left w:val="single" w:color="auto" w:sz="4" w:space="0"/>
              <w:bottom w:val="single" w:color="auto" w:sz="4" w:space="0"/>
              <w:right w:val="single" w:color="auto" w:sz="4" w:space="0"/>
            </w:tcBorders>
            <w:shd w:val="clear" w:color="auto" w:fill="auto"/>
            <w:vAlign w:val="center"/>
          </w:tcPr>
          <w:p w14:paraId="3D4A8BA4">
            <w:pPr>
              <w:overflowPunct w:val="0"/>
              <w:topLinePunct/>
              <w:spacing w:line="420" w:lineRule="exact"/>
              <w:jc w:val="center"/>
              <w:textAlignment w:val="center"/>
              <w:rPr>
                <w:rFonts w:hint="default" w:ascii="宋体" w:hAnsi="宋体" w:eastAsia="宋体" w:cs="宋体"/>
                <w:b w:val="0"/>
                <w:bCs w:val="0"/>
                <w:kern w:val="21"/>
                <w:sz w:val="21"/>
                <w:szCs w:val="21"/>
                <w:highlight w:val="none"/>
                <w:lang w:val="en-US" w:eastAsia="zh-CN" w:bidi="ar"/>
              </w:rPr>
            </w:pPr>
            <w:r>
              <w:rPr>
                <w:rFonts w:hint="eastAsia" w:ascii="宋体" w:hAnsi="宋体" w:eastAsia="宋体" w:cs="宋体"/>
                <w:b w:val="0"/>
                <w:bCs w:val="0"/>
                <w:kern w:val="21"/>
                <w:szCs w:val="21"/>
                <w:highlight w:val="none"/>
                <w:lang w:val="en-US" w:eastAsia="zh-CN" w:bidi="ar"/>
              </w:rPr>
              <w:t>19</w:t>
            </w:r>
          </w:p>
        </w:tc>
        <w:tc>
          <w:tcPr>
            <w:tcW w:w="2505" w:type="pct"/>
            <w:tcBorders>
              <w:top w:val="single" w:color="auto" w:sz="4" w:space="0"/>
              <w:left w:val="single" w:color="auto" w:sz="4" w:space="0"/>
              <w:bottom w:val="single" w:color="auto" w:sz="4" w:space="0"/>
              <w:right w:val="single" w:color="auto" w:sz="4" w:space="0"/>
            </w:tcBorders>
            <w:shd w:val="clear" w:color="auto" w:fill="auto"/>
            <w:vAlign w:val="center"/>
          </w:tcPr>
          <w:p w14:paraId="3C467915">
            <w:pPr>
              <w:overflowPunct w:val="0"/>
              <w:adjustRightInd w:val="0"/>
              <w:snapToGrid w:val="0"/>
              <w:jc w:val="center"/>
              <w:rPr>
                <w:rFonts w:hint="eastAsia" w:ascii="宋体" w:hAnsi="宋体" w:eastAsia="宋体" w:cs="宋体"/>
                <w:b w:val="0"/>
                <w:bCs w:val="0"/>
                <w:snapToGrid w:val="0"/>
                <w:kern w:val="21"/>
                <w:sz w:val="21"/>
                <w:szCs w:val="21"/>
                <w:highlight w:val="none"/>
                <w:lang w:val="en-US" w:eastAsia="zh-CN" w:bidi="ar-SA"/>
              </w:rPr>
            </w:pPr>
            <w:r>
              <w:rPr>
                <w:rFonts w:hint="eastAsia" w:ascii="宋体" w:hAnsi="宋体" w:eastAsia="宋体" w:cs="宋体"/>
                <w:b w:val="0"/>
                <w:bCs w:val="0"/>
                <w:snapToGrid w:val="0"/>
                <w:kern w:val="21"/>
                <w:szCs w:val="21"/>
                <w:highlight w:val="none"/>
              </w:rPr>
              <w:t>人均预期寿命（岁）</w:t>
            </w:r>
          </w:p>
        </w:tc>
        <w:tc>
          <w:tcPr>
            <w:tcW w:w="1376" w:type="pct"/>
            <w:tcBorders>
              <w:top w:val="single" w:color="auto" w:sz="4" w:space="0"/>
              <w:left w:val="single" w:color="auto" w:sz="4" w:space="0"/>
              <w:bottom w:val="single" w:color="auto" w:sz="4" w:space="0"/>
              <w:right w:val="single" w:color="auto" w:sz="4" w:space="0"/>
            </w:tcBorders>
            <w:shd w:val="clear" w:color="auto" w:fill="auto"/>
            <w:vAlign w:val="center"/>
          </w:tcPr>
          <w:p w14:paraId="211352B6">
            <w:pPr>
              <w:overflowPunct w:val="0"/>
              <w:adjustRightInd w:val="0"/>
              <w:snapToGrid w:val="0"/>
              <w:jc w:val="center"/>
              <w:rPr>
                <w:rFonts w:hint="eastAsia" w:ascii="宋体" w:hAnsi="宋体" w:eastAsia="宋体" w:cs="宋体"/>
                <w:b w:val="0"/>
                <w:bCs w:val="0"/>
                <w:snapToGrid w:val="0"/>
                <w:kern w:val="21"/>
                <w:sz w:val="21"/>
                <w:szCs w:val="21"/>
                <w:highlight w:val="none"/>
                <w:lang w:val="en-US" w:eastAsia="zh-CN" w:bidi="ar-SA"/>
              </w:rPr>
            </w:pPr>
            <w:r>
              <w:rPr>
                <w:rFonts w:hint="eastAsia" w:ascii="宋体" w:hAnsi="宋体" w:eastAsia="宋体" w:cs="宋体"/>
                <w:b w:val="0"/>
                <w:bCs w:val="0"/>
                <w:snapToGrid w:val="0"/>
                <w:kern w:val="21"/>
                <w:szCs w:val="21"/>
                <w:highlight w:val="none"/>
              </w:rPr>
              <w:t>85左右</w:t>
            </w:r>
          </w:p>
        </w:tc>
        <w:tc>
          <w:tcPr>
            <w:tcW w:w="707" w:type="pct"/>
            <w:tcBorders>
              <w:top w:val="single" w:color="auto" w:sz="4" w:space="0"/>
              <w:left w:val="single" w:color="auto" w:sz="4" w:space="0"/>
              <w:bottom w:val="single" w:color="auto" w:sz="4" w:space="0"/>
              <w:right w:val="single" w:color="auto" w:sz="4" w:space="0"/>
            </w:tcBorders>
            <w:vAlign w:val="center"/>
          </w:tcPr>
          <w:p w14:paraId="43E78F93">
            <w:pPr>
              <w:overflowPunct w:val="0"/>
              <w:adjustRightInd w:val="0"/>
              <w:snapToGrid w:val="0"/>
              <w:jc w:val="center"/>
              <w:rPr>
                <w:rFonts w:hint="eastAsia" w:ascii="宋体" w:hAnsi="宋体" w:eastAsia="宋体" w:cs="宋体"/>
                <w:b w:val="0"/>
                <w:bCs/>
                <w:kern w:val="21"/>
                <w:szCs w:val="21"/>
                <w:highlight w:val="none"/>
                <w:lang w:bidi="ar"/>
              </w:rPr>
            </w:pPr>
            <w:r>
              <w:rPr>
                <w:rFonts w:hint="eastAsia" w:ascii="宋体" w:hAnsi="宋体" w:eastAsia="宋体" w:cs="宋体"/>
                <w:b w:val="0"/>
                <w:bCs/>
                <w:snapToGrid w:val="0"/>
                <w:kern w:val="21"/>
                <w:szCs w:val="21"/>
                <w:highlight w:val="none"/>
              </w:rPr>
              <w:t>预期性</w:t>
            </w:r>
          </w:p>
        </w:tc>
      </w:tr>
      <w:tr w14:paraId="447135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4" w:hRule="atLeast"/>
          <w:jc w:val="center"/>
        </w:trPr>
        <w:tc>
          <w:tcPr>
            <w:tcW w:w="5000" w:type="pct"/>
            <w:gridSpan w:val="4"/>
            <w:tcBorders>
              <w:top w:val="single" w:color="auto" w:sz="4" w:space="0"/>
              <w:left w:val="single" w:color="auto" w:sz="4" w:space="0"/>
              <w:bottom w:val="single" w:color="auto" w:sz="4" w:space="0"/>
              <w:right w:val="single" w:color="auto" w:sz="4" w:space="0"/>
            </w:tcBorders>
            <w:shd w:val="clear" w:color="auto" w:fill="auto"/>
            <w:vAlign w:val="center"/>
          </w:tcPr>
          <w:p w14:paraId="5AAD3482">
            <w:pPr>
              <w:overflowPunct w:val="0"/>
              <w:adjustRightInd w:val="0"/>
              <w:snapToGrid w:val="0"/>
              <w:jc w:val="center"/>
              <w:rPr>
                <w:rFonts w:hint="eastAsia" w:ascii="宋体" w:hAnsi="宋体" w:eastAsia="宋体" w:cs="宋体"/>
                <w:b w:val="0"/>
                <w:bCs w:val="0"/>
                <w:snapToGrid w:val="0"/>
                <w:kern w:val="21"/>
                <w:szCs w:val="21"/>
                <w:highlight w:val="none"/>
              </w:rPr>
            </w:pPr>
            <w:r>
              <w:rPr>
                <w:rFonts w:hint="eastAsia" w:ascii="楷体_GB2312" w:hAnsi="楷体_GB2312" w:eastAsia="楷体_GB2312" w:cs="楷体_GB2312"/>
                <w:b w:val="0"/>
                <w:bCs/>
                <w:snapToGrid w:val="0"/>
                <w:kern w:val="21"/>
                <w:sz w:val="24"/>
                <w:szCs w:val="24"/>
                <w:highlight w:val="none"/>
                <w:lang w:val="en-US" w:eastAsia="zh-CN"/>
              </w:rPr>
              <w:t>三、环境美（6项）</w:t>
            </w:r>
          </w:p>
        </w:tc>
      </w:tr>
      <w:tr w14:paraId="01ADFF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4" w:hRule="atLeast"/>
          <w:jc w:val="center"/>
        </w:trPr>
        <w:tc>
          <w:tcPr>
            <w:tcW w:w="410" w:type="pct"/>
            <w:tcBorders>
              <w:top w:val="single" w:color="auto" w:sz="4" w:space="0"/>
              <w:left w:val="single" w:color="auto" w:sz="4" w:space="0"/>
              <w:bottom w:val="single" w:color="auto" w:sz="4" w:space="0"/>
              <w:right w:val="single" w:color="auto" w:sz="4" w:space="0"/>
            </w:tcBorders>
            <w:shd w:val="clear" w:color="auto" w:fill="auto"/>
            <w:vAlign w:val="center"/>
          </w:tcPr>
          <w:p w14:paraId="56081B4D">
            <w:pPr>
              <w:overflowPunct w:val="0"/>
              <w:topLinePunct/>
              <w:spacing w:line="420" w:lineRule="exact"/>
              <w:jc w:val="center"/>
              <w:textAlignment w:val="center"/>
              <w:rPr>
                <w:rFonts w:hint="default" w:ascii="Times New Roman" w:hAnsi="Times New Roman" w:eastAsia="宋体" w:cs="Times New Roman"/>
                <w:b w:val="0"/>
                <w:bCs/>
                <w:kern w:val="21"/>
                <w:sz w:val="21"/>
                <w:szCs w:val="21"/>
                <w:highlight w:val="none"/>
                <w:lang w:val="en-US" w:eastAsia="zh-CN" w:bidi="ar-SA"/>
              </w:rPr>
            </w:pPr>
            <w:r>
              <w:rPr>
                <w:rFonts w:hint="eastAsia" w:ascii="宋体" w:hAnsi="宋体" w:eastAsia="宋体" w:cs="宋体"/>
                <w:b w:val="0"/>
                <w:bCs w:val="0"/>
                <w:kern w:val="21"/>
                <w:szCs w:val="21"/>
                <w:highlight w:val="none"/>
                <w:lang w:val="en-US" w:eastAsia="zh-CN"/>
              </w:rPr>
              <w:t>20</w:t>
            </w:r>
          </w:p>
        </w:tc>
        <w:tc>
          <w:tcPr>
            <w:tcW w:w="2505" w:type="pct"/>
            <w:tcBorders>
              <w:top w:val="single" w:color="auto" w:sz="4" w:space="0"/>
              <w:left w:val="single" w:color="auto" w:sz="4" w:space="0"/>
              <w:bottom w:val="single" w:color="auto" w:sz="4" w:space="0"/>
              <w:right w:val="single" w:color="auto" w:sz="4" w:space="0"/>
            </w:tcBorders>
            <w:vAlign w:val="center"/>
          </w:tcPr>
          <w:p w14:paraId="534ADD5B">
            <w:pPr>
              <w:overflowPunct w:val="0"/>
              <w:adjustRightInd w:val="0"/>
              <w:snapToGrid w:val="0"/>
              <w:jc w:val="center"/>
              <w:rPr>
                <w:rFonts w:hint="eastAsia" w:ascii="宋体" w:hAnsi="宋体" w:eastAsia="宋体" w:cs="宋体"/>
                <w:b w:val="0"/>
                <w:bCs/>
                <w:snapToGrid w:val="0"/>
                <w:kern w:val="21"/>
                <w:szCs w:val="21"/>
                <w:highlight w:val="none"/>
              </w:rPr>
            </w:pPr>
            <w:r>
              <w:rPr>
                <w:rFonts w:hint="eastAsia" w:ascii="宋体" w:hAnsi="宋体" w:eastAsia="宋体" w:cs="宋体"/>
                <w:b w:val="0"/>
                <w:bCs w:val="0"/>
                <w:snapToGrid w:val="0"/>
                <w:kern w:val="21"/>
                <w:szCs w:val="21"/>
                <w:highlight w:val="none"/>
              </w:rPr>
              <w:t>单位地区生产总值二氧化碳排放下降率（%）</w:t>
            </w:r>
          </w:p>
        </w:tc>
        <w:tc>
          <w:tcPr>
            <w:tcW w:w="1376" w:type="pct"/>
            <w:tcBorders>
              <w:top w:val="single" w:color="auto" w:sz="4" w:space="0"/>
              <w:left w:val="single" w:color="auto" w:sz="4" w:space="0"/>
              <w:bottom w:val="single" w:color="auto" w:sz="4" w:space="0"/>
              <w:right w:val="single" w:color="auto" w:sz="4" w:space="0"/>
            </w:tcBorders>
            <w:vAlign w:val="center"/>
          </w:tcPr>
          <w:p w14:paraId="433AEED6">
            <w:pPr>
              <w:overflowPunct w:val="0"/>
              <w:adjustRightInd w:val="0"/>
              <w:snapToGrid w:val="0"/>
              <w:jc w:val="center"/>
              <w:rPr>
                <w:rFonts w:hint="eastAsia" w:ascii="宋体" w:hAnsi="宋体" w:eastAsia="宋体" w:cs="宋体"/>
                <w:b w:val="0"/>
                <w:bCs w:val="0"/>
                <w:snapToGrid w:val="0"/>
                <w:kern w:val="21"/>
                <w:szCs w:val="21"/>
                <w:highlight w:val="none"/>
                <w:lang w:val="en-US" w:eastAsia="zh-CN"/>
              </w:rPr>
            </w:pPr>
            <w:r>
              <w:rPr>
                <w:rFonts w:hint="eastAsia" w:ascii="宋体" w:hAnsi="宋体" w:eastAsia="宋体" w:cs="宋体"/>
                <w:b w:val="0"/>
                <w:bCs w:val="0"/>
                <w:snapToGrid w:val="0"/>
                <w:kern w:val="21"/>
                <w:szCs w:val="21"/>
                <w:highlight w:val="none"/>
              </w:rPr>
              <w:t>完成市定目标</w:t>
            </w:r>
          </w:p>
        </w:tc>
        <w:tc>
          <w:tcPr>
            <w:tcW w:w="707" w:type="pct"/>
            <w:tcBorders>
              <w:top w:val="single" w:color="auto" w:sz="4" w:space="0"/>
              <w:left w:val="single" w:color="auto" w:sz="4" w:space="0"/>
              <w:bottom w:val="single" w:color="auto" w:sz="4" w:space="0"/>
              <w:right w:val="single" w:color="auto" w:sz="4" w:space="0"/>
            </w:tcBorders>
            <w:vAlign w:val="center"/>
          </w:tcPr>
          <w:p w14:paraId="2D14D99B">
            <w:pPr>
              <w:overflowPunct w:val="0"/>
              <w:adjustRightInd w:val="0"/>
              <w:snapToGrid w:val="0"/>
              <w:jc w:val="center"/>
              <w:rPr>
                <w:rFonts w:hint="eastAsia" w:ascii="宋体" w:hAnsi="宋体" w:eastAsia="宋体" w:cs="宋体"/>
                <w:b w:val="0"/>
                <w:bCs/>
                <w:kern w:val="21"/>
                <w:szCs w:val="21"/>
                <w:highlight w:val="none"/>
                <w:lang w:bidi="ar"/>
              </w:rPr>
            </w:pPr>
            <w:r>
              <w:rPr>
                <w:rFonts w:hint="eastAsia" w:ascii="宋体" w:hAnsi="宋体" w:eastAsia="宋体" w:cs="宋体"/>
                <w:b w:val="0"/>
                <w:bCs w:val="0"/>
                <w:snapToGrid w:val="0"/>
                <w:kern w:val="21"/>
                <w:szCs w:val="21"/>
                <w:highlight w:val="none"/>
              </w:rPr>
              <w:t>约束性</w:t>
            </w:r>
          </w:p>
        </w:tc>
      </w:tr>
      <w:tr w14:paraId="78FA5B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4" w:hRule="atLeast"/>
          <w:jc w:val="center"/>
        </w:trPr>
        <w:tc>
          <w:tcPr>
            <w:tcW w:w="410" w:type="pct"/>
            <w:tcBorders>
              <w:top w:val="single" w:color="auto" w:sz="4" w:space="0"/>
              <w:left w:val="single" w:color="auto" w:sz="4" w:space="0"/>
              <w:bottom w:val="single" w:color="auto" w:sz="4" w:space="0"/>
              <w:right w:val="single" w:color="auto" w:sz="4" w:space="0"/>
            </w:tcBorders>
            <w:shd w:val="clear" w:color="auto" w:fill="auto"/>
            <w:vAlign w:val="center"/>
          </w:tcPr>
          <w:p w14:paraId="63AAE3AD">
            <w:pPr>
              <w:overflowPunct w:val="0"/>
              <w:topLinePunct/>
              <w:spacing w:line="420" w:lineRule="exact"/>
              <w:jc w:val="center"/>
              <w:textAlignment w:val="center"/>
              <w:rPr>
                <w:rFonts w:hint="default" w:ascii="Times New Roman" w:hAnsi="Times New Roman" w:eastAsia="宋体" w:cs="Times New Roman"/>
                <w:b w:val="0"/>
                <w:bCs/>
                <w:kern w:val="21"/>
                <w:sz w:val="21"/>
                <w:szCs w:val="21"/>
                <w:highlight w:val="none"/>
                <w:lang w:val="en-US" w:eastAsia="zh-CN" w:bidi="ar-SA"/>
              </w:rPr>
            </w:pPr>
            <w:r>
              <w:rPr>
                <w:rFonts w:hint="eastAsia" w:ascii="宋体" w:hAnsi="宋体" w:eastAsia="宋体" w:cs="宋体"/>
                <w:b w:val="0"/>
                <w:bCs w:val="0"/>
                <w:kern w:val="21"/>
                <w:szCs w:val="21"/>
                <w:highlight w:val="none"/>
                <w:lang w:val="en-US" w:eastAsia="zh-CN"/>
              </w:rPr>
              <w:t>21</w:t>
            </w:r>
          </w:p>
        </w:tc>
        <w:tc>
          <w:tcPr>
            <w:tcW w:w="2505" w:type="pct"/>
            <w:tcBorders>
              <w:top w:val="single" w:color="auto" w:sz="4" w:space="0"/>
              <w:left w:val="single" w:color="auto" w:sz="4" w:space="0"/>
              <w:bottom w:val="single" w:color="auto" w:sz="4" w:space="0"/>
              <w:right w:val="single" w:color="auto" w:sz="4" w:space="0"/>
            </w:tcBorders>
            <w:vAlign w:val="center"/>
          </w:tcPr>
          <w:p w14:paraId="29AC8017">
            <w:pPr>
              <w:overflowPunct w:val="0"/>
              <w:adjustRightInd w:val="0"/>
              <w:snapToGrid w:val="0"/>
              <w:jc w:val="center"/>
              <w:rPr>
                <w:rFonts w:hint="eastAsia" w:ascii="宋体" w:hAnsi="宋体" w:eastAsia="宋体" w:cs="宋体"/>
                <w:b w:val="0"/>
                <w:bCs w:val="0"/>
                <w:snapToGrid w:val="0"/>
                <w:kern w:val="21"/>
                <w:szCs w:val="21"/>
                <w:highlight w:val="none"/>
              </w:rPr>
            </w:pPr>
            <w:r>
              <w:rPr>
                <w:rFonts w:hint="eastAsia" w:ascii="宋体" w:hAnsi="宋体" w:eastAsia="宋体" w:cs="宋体"/>
                <w:b w:val="0"/>
                <w:bCs w:val="0"/>
                <w:snapToGrid w:val="0"/>
                <w:kern w:val="21"/>
                <w:szCs w:val="21"/>
                <w:highlight w:val="none"/>
              </w:rPr>
              <w:t>单位地区生产总值建设用地使用面积</w:t>
            </w:r>
          </w:p>
          <w:p w14:paraId="34412F23">
            <w:pPr>
              <w:overflowPunct w:val="0"/>
              <w:adjustRightInd w:val="0"/>
              <w:snapToGrid w:val="0"/>
              <w:jc w:val="center"/>
              <w:rPr>
                <w:rFonts w:hint="eastAsia" w:ascii="宋体" w:hAnsi="宋体" w:eastAsia="宋体" w:cs="宋体"/>
                <w:b w:val="0"/>
                <w:bCs/>
                <w:snapToGrid w:val="0"/>
                <w:kern w:val="21"/>
                <w:szCs w:val="21"/>
                <w:highlight w:val="none"/>
              </w:rPr>
            </w:pPr>
            <w:r>
              <w:rPr>
                <w:rFonts w:hint="eastAsia" w:ascii="宋体" w:hAnsi="宋体" w:eastAsia="宋体" w:cs="宋体"/>
                <w:b w:val="0"/>
                <w:bCs w:val="0"/>
                <w:snapToGrid w:val="0"/>
                <w:kern w:val="21"/>
                <w:szCs w:val="21"/>
                <w:highlight w:val="none"/>
              </w:rPr>
              <w:t>下降率（%）</w:t>
            </w:r>
          </w:p>
        </w:tc>
        <w:tc>
          <w:tcPr>
            <w:tcW w:w="1376" w:type="pct"/>
            <w:tcBorders>
              <w:top w:val="single" w:color="auto" w:sz="4" w:space="0"/>
              <w:left w:val="single" w:color="auto" w:sz="4" w:space="0"/>
              <w:bottom w:val="single" w:color="auto" w:sz="4" w:space="0"/>
              <w:right w:val="single" w:color="auto" w:sz="4" w:space="0"/>
            </w:tcBorders>
            <w:vAlign w:val="center"/>
          </w:tcPr>
          <w:p w14:paraId="2F209771">
            <w:pPr>
              <w:overflowPunct w:val="0"/>
              <w:adjustRightInd w:val="0"/>
              <w:snapToGrid w:val="0"/>
              <w:jc w:val="center"/>
              <w:rPr>
                <w:rFonts w:hint="eastAsia" w:ascii="宋体" w:hAnsi="宋体" w:eastAsia="宋体" w:cs="宋体"/>
                <w:b w:val="0"/>
                <w:bCs w:val="0"/>
                <w:snapToGrid w:val="0"/>
                <w:kern w:val="21"/>
                <w:szCs w:val="21"/>
                <w:highlight w:val="none"/>
              </w:rPr>
            </w:pPr>
            <w:r>
              <w:rPr>
                <w:rFonts w:hint="eastAsia" w:ascii="宋体" w:hAnsi="宋体" w:eastAsia="宋体" w:cs="宋体"/>
                <w:b w:val="0"/>
                <w:bCs w:val="0"/>
                <w:snapToGrid w:val="0"/>
                <w:kern w:val="21"/>
                <w:szCs w:val="21"/>
                <w:highlight w:val="none"/>
                <w:lang w:val="en-US" w:eastAsia="zh-CN"/>
              </w:rPr>
              <w:t>18</w:t>
            </w:r>
          </w:p>
        </w:tc>
        <w:tc>
          <w:tcPr>
            <w:tcW w:w="707" w:type="pct"/>
            <w:tcBorders>
              <w:top w:val="single" w:color="auto" w:sz="4" w:space="0"/>
              <w:left w:val="single" w:color="auto" w:sz="4" w:space="0"/>
              <w:bottom w:val="single" w:color="auto" w:sz="4" w:space="0"/>
              <w:right w:val="single" w:color="auto" w:sz="4" w:space="0"/>
            </w:tcBorders>
            <w:vAlign w:val="center"/>
          </w:tcPr>
          <w:p w14:paraId="42B9AD1E">
            <w:pPr>
              <w:overflowPunct w:val="0"/>
              <w:adjustRightInd w:val="0"/>
              <w:snapToGrid w:val="0"/>
              <w:jc w:val="center"/>
              <w:rPr>
                <w:rFonts w:hint="eastAsia" w:ascii="宋体" w:hAnsi="宋体" w:eastAsia="宋体" w:cs="宋体"/>
                <w:b w:val="0"/>
                <w:bCs/>
                <w:kern w:val="21"/>
                <w:szCs w:val="21"/>
                <w:highlight w:val="none"/>
                <w:lang w:bidi="ar"/>
              </w:rPr>
            </w:pPr>
            <w:r>
              <w:rPr>
                <w:rFonts w:hint="eastAsia" w:ascii="宋体" w:hAnsi="宋体" w:eastAsia="宋体" w:cs="宋体"/>
                <w:b w:val="0"/>
                <w:bCs w:val="0"/>
                <w:snapToGrid w:val="0"/>
                <w:kern w:val="21"/>
                <w:szCs w:val="21"/>
                <w:highlight w:val="none"/>
              </w:rPr>
              <w:t>预期性</w:t>
            </w:r>
          </w:p>
        </w:tc>
      </w:tr>
      <w:tr w14:paraId="31AEA8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4" w:hRule="atLeast"/>
          <w:jc w:val="center"/>
        </w:trPr>
        <w:tc>
          <w:tcPr>
            <w:tcW w:w="410" w:type="pct"/>
            <w:tcBorders>
              <w:top w:val="single" w:color="auto" w:sz="4" w:space="0"/>
              <w:left w:val="single" w:color="auto" w:sz="4" w:space="0"/>
              <w:bottom w:val="single" w:color="auto" w:sz="4" w:space="0"/>
              <w:right w:val="single" w:color="auto" w:sz="4" w:space="0"/>
            </w:tcBorders>
            <w:shd w:val="clear" w:color="auto" w:fill="auto"/>
            <w:vAlign w:val="center"/>
          </w:tcPr>
          <w:p w14:paraId="5CD740C6">
            <w:pPr>
              <w:overflowPunct w:val="0"/>
              <w:topLinePunct/>
              <w:spacing w:line="420" w:lineRule="exact"/>
              <w:jc w:val="center"/>
              <w:textAlignment w:val="center"/>
              <w:rPr>
                <w:rFonts w:hint="default" w:ascii="Times New Roman" w:hAnsi="Times New Roman" w:eastAsia="宋体" w:cs="Times New Roman"/>
                <w:b w:val="0"/>
                <w:bCs/>
                <w:kern w:val="21"/>
                <w:sz w:val="21"/>
                <w:szCs w:val="21"/>
                <w:highlight w:val="none"/>
                <w:lang w:val="en-US" w:eastAsia="zh-CN" w:bidi="ar-SA"/>
              </w:rPr>
            </w:pPr>
            <w:r>
              <w:rPr>
                <w:rFonts w:hint="eastAsia" w:ascii="宋体" w:hAnsi="宋体" w:eastAsia="宋体" w:cs="宋体"/>
                <w:b w:val="0"/>
                <w:bCs w:val="0"/>
                <w:kern w:val="21"/>
                <w:szCs w:val="21"/>
                <w:highlight w:val="none"/>
                <w:lang w:val="en-US" w:eastAsia="zh-CN"/>
              </w:rPr>
              <w:t>22</w:t>
            </w:r>
          </w:p>
        </w:tc>
        <w:tc>
          <w:tcPr>
            <w:tcW w:w="2505" w:type="pct"/>
            <w:tcBorders>
              <w:top w:val="single" w:color="auto" w:sz="4" w:space="0"/>
              <w:left w:val="single" w:color="auto" w:sz="4" w:space="0"/>
              <w:bottom w:val="single" w:color="auto" w:sz="4" w:space="0"/>
              <w:right w:val="single" w:color="auto" w:sz="4" w:space="0"/>
            </w:tcBorders>
            <w:vAlign w:val="center"/>
          </w:tcPr>
          <w:p w14:paraId="7D05A8AB">
            <w:pPr>
              <w:overflowPunct w:val="0"/>
              <w:adjustRightInd w:val="0"/>
              <w:snapToGrid w:val="0"/>
              <w:jc w:val="center"/>
              <w:rPr>
                <w:rFonts w:hint="eastAsia" w:ascii="宋体" w:hAnsi="宋体" w:eastAsia="宋体" w:cs="宋体"/>
                <w:b w:val="0"/>
                <w:bCs w:val="0"/>
                <w:snapToGrid w:val="0"/>
                <w:kern w:val="21"/>
                <w:szCs w:val="21"/>
                <w:highlight w:val="none"/>
              </w:rPr>
            </w:pPr>
            <w:r>
              <w:rPr>
                <w:rFonts w:hint="eastAsia" w:ascii="宋体" w:hAnsi="宋体" w:eastAsia="宋体" w:cs="宋体"/>
                <w:snapToGrid w:val="0"/>
                <w:kern w:val="21"/>
                <w:szCs w:val="21"/>
                <w:highlight w:val="none"/>
              </w:rPr>
              <w:t>单位</w:t>
            </w:r>
            <w:r>
              <w:rPr>
                <w:rFonts w:hint="eastAsia" w:ascii="宋体" w:hAnsi="宋体" w:eastAsia="宋体" w:cs="宋体"/>
                <w:b w:val="0"/>
                <w:bCs w:val="0"/>
                <w:snapToGrid w:val="0"/>
                <w:kern w:val="21"/>
                <w:szCs w:val="21"/>
                <w:highlight w:val="none"/>
              </w:rPr>
              <w:t>地区生产总值用水量</w:t>
            </w:r>
          </w:p>
          <w:p w14:paraId="539FD8BD">
            <w:pPr>
              <w:overflowPunct w:val="0"/>
              <w:adjustRightInd w:val="0"/>
              <w:snapToGrid w:val="0"/>
              <w:jc w:val="center"/>
              <w:rPr>
                <w:rFonts w:hint="eastAsia" w:ascii="宋体" w:hAnsi="宋体" w:eastAsia="宋体" w:cs="宋体"/>
                <w:b w:val="0"/>
                <w:bCs/>
                <w:snapToGrid w:val="0"/>
                <w:kern w:val="21"/>
                <w:szCs w:val="21"/>
                <w:highlight w:val="none"/>
              </w:rPr>
            </w:pPr>
            <w:r>
              <w:rPr>
                <w:rFonts w:hint="eastAsia" w:ascii="宋体" w:hAnsi="宋体" w:eastAsia="宋体" w:cs="宋体"/>
                <w:b w:val="0"/>
                <w:bCs w:val="0"/>
                <w:snapToGrid w:val="0"/>
                <w:kern w:val="21"/>
                <w:szCs w:val="21"/>
                <w:highlight w:val="none"/>
              </w:rPr>
              <w:t>下降率（%）</w:t>
            </w:r>
          </w:p>
        </w:tc>
        <w:tc>
          <w:tcPr>
            <w:tcW w:w="1376" w:type="pct"/>
            <w:tcBorders>
              <w:top w:val="single" w:color="auto" w:sz="4" w:space="0"/>
              <w:left w:val="single" w:color="auto" w:sz="4" w:space="0"/>
              <w:bottom w:val="single" w:color="auto" w:sz="4" w:space="0"/>
              <w:right w:val="single" w:color="auto" w:sz="4" w:space="0"/>
            </w:tcBorders>
            <w:vAlign w:val="center"/>
          </w:tcPr>
          <w:p w14:paraId="287F4E9E">
            <w:pPr>
              <w:overflowPunct w:val="0"/>
              <w:adjustRightInd w:val="0"/>
              <w:snapToGrid w:val="0"/>
              <w:jc w:val="center"/>
              <w:rPr>
                <w:rFonts w:hint="eastAsia" w:ascii="宋体" w:hAnsi="宋体" w:eastAsia="宋体" w:cs="宋体"/>
                <w:b w:val="0"/>
                <w:bCs w:val="0"/>
                <w:snapToGrid w:val="0"/>
                <w:kern w:val="21"/>
                <w:szCs w:val="21"/>
                <w:highlight w:val="none"/>
              </w:rPr>
            </w:pPr>
            <w:r>
              <w:rPr>
                <w:rFonts w:hint="eastAsia" w:ascii="宋体" w:hAnsi="宋体" w:eastAsia="宋体" w:cs="宋体"/>
                <w:b w:val="0"/>
                <w:bCs w:val="0"/>
                <w:snapToGrid w:val="0"/>
                <w:kern w:val="21"/>
                <w:szCs w:val="21"/>
                <w:highlight w:val="none"/>
              </w:rPr>
              <w:t>完成市定目标</w:t>
            </w:r>
          </w:p>
        </w:tc>
        <w:tc>
          <w:tcPr>
            <w:tcW w:w="707" w:type="pct"/>
            <w:tcBorders>
              <w:top w:val="single" w:color="auto" w:sz="4" w:space="0"/>
              <w:left w:val="single" w:color="auto" w:sz="4" w:space="0"/>
              <w:bottom w:val="single" w:color="auto" w:sz="4" w:space="0"/>
              <w:right w:val="single" w:color="auto" w:sz="4" w:space="0"/>
            </w:tcBorders>
            <w:vAlign w:val="center"/>
          </w:tcPr>
          <w:p w14:paraId="10E5AEEE">
            <w:pPr>
              <w:overflowPunct w:val="0"/>
              <w:adjustRightInd w:val="0"/>
              <w:snapToGrid w:val="0"/>
              <w:jc w:val="center"/>
              <w:rPr>
                <w:rFonts w:hint="eastAsia" w:ascii="宋体" w:hAnsi="宋体" w:eastAsia="宋体" w:cs="宋体"/>
                <w:b w:val="0"/>
                <w:bCs/>
                <w:kern w:val="21"/>
                <w:szCs w:val="21"/>
                <w:highlight w:val="none"/>
                <w:lang w:bidi="ar"/>
              </w:rPr>
            </w:pPr>
            <w:r>
              <w:rPr>
                <w:rFonts w:hint="eastAsia" w:ascii="宋体" w:hAnsi="宋体" w:eastAsia="宋体" w:cs="宋体"/>
                <w:b w:val="0"/>
                <w:bCs w:val="0"/>
                <w:snapToGrid w:val="0"/>
                <w:kern w:val="21"/>
                <w:szCs w:val="21"/>
                <w:highlight w:val="none"/>
              </w:rPr>
              <w:t>约束性</w:t>
            </w:r>
          </w:p>
        </w:tc>
      </w:tr>
      <w:tr w14:paraId="557765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4" w:hRule="atLeast"/>
          <w:jc w:val="center"/>
        </w:trPr>
        <w:tc>
          <w:tcPr>
            <w:tcW w:w="410" w:type="pct"/>
            <w:tcBorders>
              <w:top w:val="single" w:color="auto" w:sz="4" w:space="0"/>
              <w:left w:val="single" w:color="auto" w:sz="4" w:space="0"/>
              <w:bottom w:val="single" w:color="auto" w:sz="4" w:space="0"/>
              <w:right w:val="single" w:color="auto" w:sz="4" w:space="0"/>
            </w:tcBorders>
            <w:shd w:val="clear" w:color="auto" w:fill="auto"/>
            <w:vAlign w:val="center"/>
          </w:tcPr>
          <w:p w14:paraId="7CC6E2E0">
            <w:pPr>
              <w:overflowPunct w:val="0"/>
              <w:topLinePunct/>
              <w:spacing w:line="420" w:lineRule="exact"/>
              <w:jc w:val="center"/>
              <w:textAlignment w:val="center"/>
              <w:rPr>
                <w:rFonts w:hint="default" w:ascii="Times New Roman" w:hAnsi="Times New Roman" w:eastAsia="宋体" w:cs="Times New Roman"/>
                <w:b w:val="0"/>
                <w:bCs/>
                <w:kern w:val="21"/>
                <w:szCs w:val="21"/>
                <w:highlight w:val="none"/>
                <w:lang w:val="en-US" w:eastAsia="zh-CN"/>
              </w:rPr>
            </w:pPr>
            <w:r>
              <w:rPr>
                <w:rFonts w:hint="eastAsia" w:ascii="宋体" w:hAnsi="宋体" w:eastAsia="宋体" w:cs="宋体"/>
                <w:b w:val="0"/>
                <w:bCs w:val="0"/>
                <w:kern w:val="21"/>
                <w:szCs w:val="21"/>
                <w:highlight w:val="none"/>
                <w:lang w:val="en-US" w:eastAsia="zh-CN"/>
              </w:rPr>
              <w:t>23</w:t>
            </w:r>
          </w:p>
        </w:tc>
        <w:tc>
          <w:tcPr>
            <w:tcW w:w="2505" w:type="pct"/>
            <w:tcBorders>
              <w:top w:val="single" w:color="auto" w:sz="4" w:space="0"/>
              <w:left w:val="single" w:color="auto" w:sz="4" w:space="0"/>
              <w:bottom w:val="single" w:color="auto" w:sz="4" w:space="0"/>
              <w:right w:val="single" w:color="auto" w:sz="4" w:space="0"/>
            </w:tcBorders>
            <w:shd w:val="clear" w:color="auto" w:fill="auto"/>
            <w:vAlign w:val="center"/>
          </w:tcPr>
          <w:p w14:paraId="4904D48C">
            <w:pPr>
              <w:overflowPunct w:val="0"/>
              <w:adjustRightInd w:val="0"/>
              <w:snapToGrid w:val="0"/>
              <w:jc w:val="center"/>
              <w:rPr>
                <w:rFonts w:hint="eastAsia" w:ascii="宋体" w:hAnsi="宋体" w:eastAsia="宋体" w:cs="宋体"/>
                <w:b w:val="0"/>
                <w:bCs/>
                <w:snapToGrid w:val="0"/>
                <w:kern w:val="21"/>
                <w:sz w:val="21"/>
                <w:szCs w:val="21"/>
                <w:highlight w:val="none"/>
                <w:lang w:val="en-US" w:eastAsia="zh-CN" w:bidi="ar-SA"/>
              </w:rPr>
            </w:pPr>
            <w:r>
              <w:rPr>
                <w:rFonts w:hint="eastAsia" w:ascii="宋体" w:hAnsi="宋体" w:eastAsia="宋体" w:cs="宋体"/>
                <w:b w:val="0"/>
                <w:bCs w:val="0"/>
                <w:snapToGrid w:val="0"/>
                <w:kern w:val="21"/>
                <w:szCs w:val="21"/>
                <w:highlight w:val="none"/>
                <w:lang w:val="en-US" w:eastAsia="zh-CN"/>
              </w:rPr>
              <w:t>细颗粒物（</w:t>
            </w:r>
            <w:r>
              <w:rPr>
                <w:rFonts w:hint="eastAsia" w:ascii="宋体" w:hAnsi="宋体" w:eastAsia="宋体" w:cs="宋体"/>
                <w:b w:val="0"/>
                <w:bCs w:val="0"/>
                <w:snapToGrid w:val="0"/>
                <w:kern w:val="21"/>
                <w:szCs w:val="21"/>
                <w:highlight w:val="none"/>
              </w:rPr>
              <w:t>PM</w:t>
            </w:r>
            <w:r>
              <w:rPr>
                <w:rFonts w:hint="eastAsia" w:ascii="宋体" w:hAnsi="宋体" w:eastAsia="宋体" w:cs="宋体"/>
                <w:b w:val="0"/>
                <w:bCs w:val="0"/>
                <w:snapToGrid w:val="0"/>
                <w:kern w:val="21"/>
                <w:szCs w:val="21"/>
                <w:highlight w:val="none"/>
                <w:vertAlign w:val="subscript"/>
              </w:rPr>
              <w:t>2.5</w:t>
            </w:r>
            <w:r>
              <w:rPr>
                <w:rFonts w:hint="eastAsia" w:ascii="宋体" w:hAnsi="宋体" w:eastAsia="宋体" w:cs="宋体"/>
                <w:b w:val="0"/>
                <w:bCs w:val="0"/>
                <w:snapToGrid w:val="0"/>
                <w:kern w:val="21"/>
                <w:szCs w:val="21"/>
                <w:highlight w:val="none"/>
                <w:lang w:val="en-US" w:eastAsia="zh-CN"/>
              </w:rPr>
              <w:t>）</w:t>
            </w:r>
            <w:r>
              <w:rPr>
                <w:rFonts w:hint="eastAsia" w:ascii="宋体" w:hAnsi="宋体" w:eastAsia="宋体" w:cs="宋体"/>
                <w:b w:val="0"/>
                <w:bCs w:val="0"/>
                <w:snapToGrid w:val="0"/>
                <w:kern w:val="21"/>
                <w:szCs w:val="21"/>
                <w:highlight w:val="none"/>
              </w:rPr>
              <w:t>年均浓度（微克/立方米）</w:t>
            </w:r>
          </w:p>
        </w:tc>
        <w:tc>
          <w:tcPr>
            <w:tcW w:w="1376" w:type="pct"/>
            <w:tcBorders>
              <w:top w:val="single" w:color="auto" w:sz="4" w:space="0"/>
              <w:left w:val="single" w:color="auto" w:sz="4" w:space="0"/>
              <w:bottom w:val="single" w:color="auto" w:sz="4" w:space="0"/>
              <w:right w:val="single" w:color="auto" w:sz="4" w:space="0"/>
            </w:tcBorders>
            <w:shd w:val="clear" w:color="auto" w:fill="auto"/>
            <w:vAlign w:val="center"/>
          </w:tcPr>
          <w:p w14:paraId="3154CCA2">
            <w:pPr>
              <w:overflowPunct w:val="0"/>
              <w:adjustRightInd w:val="0"/>
              <w:snapToGrid w:val="0"/>
              <w:jc w:val="center"/>
              <w:rPr>
                <w:rFonts w:hint="eastAsia" w:ascii="宋体" w:hAnsi="宋体" w:eastAsia="宋体" w:cs="宋体"/>
                <w:b w:val="0"/>
                <w:bCs w:val="0"/>
                <w:snapToGrid w:val="0"/>
                <w:kern w:val="21"/>
                <w:sz w:val="21"/>
                <w:szCs w:val="21"/>
                <w:highlight w:val="none"/>
                <w:lang w:val="en-US" w:eastAsia="zh-CN" w:bidi="ar-SA"/>
              </w:rPr>
            </w:pPr>
            <w:r>
              <w:rPr>
                <w:rFonts w:hint="eastAsia" w:ascii="宋体" w:hAnsi="宋体" w:eastAsia="宋体" w:cs="宋体"/>
                <w:b w:val="0"/>
                <w:bCs w:val="0"/>
                <w:snapToGrid w:val="0"/>
                <w:kern w:val="21"/>
                <w:szCs w:val="21"/>
                <w:highlight w:val="none"/>
              </w:rPr>
              <w:t>完成市定目标</w:t>
            </w:r>
          </w:p>
        </w:tc>
        <w:tc>
          <w:tcPr>
            <w:tcW w:w="707" w:type="pct"/>
            <w:tcBorders>
              <w:top w:val="single" w:color="auto" w:sz="4" w:space="0"/>
              <w:left w:val="single" w:color="auto" w:sz="4" w:space="0"/>
              <w:bottom w:val="single" w:color="auto" w:sz="4" w:space="0"/>
              <w:right w:val="single" w:color="auto" w:sz="4" w:space="0"/>
            </w:tcBorders>
            <w:shd w:val="clear" w:color="auto" w:fill="auto"/>
            <w:vAlign w:val="center"/>
          </w:tcPr>
          <w:p w14:paraId="7E133FAF">
            <w:pPr>
              <w:overflowPunct w:val="0"/>
              <w:adjustRightInd w:val="0"/>
              <w:snapToGrid w:val="0"/>
              <w:jc w:val="center"/>
              <w:rPr>
                <w:rFonts w:hint="eastAsia" w:ascii="宋体" w:hAnsi="宋体" w:eastAsia="宋体" w:cs="宋体"/>
                <w:b w:val="0"/>
                <w:bCs/>
                <w:kern w:val="21"/>
                <w:sz w:val="21"/>
                <w:szCs w:val="21"/>
                <w:highlight w:val="none"/>
                <w:lang w:val="en-US" w:eastAsia="zh-CN" w:bidi="ar"/>
              </w:rPr>
            </w:pPr>
            <w:r>
              <w:rPr>
                <w:rFonts w:hint="eastAsia" w:ascii="宋体" w:hAnsi="宋体" w:eastAsia="宋体" w:cs="宋体"/>
                <w:b w:val="0"/>
                <w:bCs w:val="0"/>
                <w:snapToGrid w:val="0"/>
                <w:kern w:val="21"/>
                <w:szCs w:val="21"/>
                <w:highlight w:val="none"/>
              </w:rPr>
              <w:t>约束性</w:t>
            </w:r>
          </w:p>
        </w:tc>
      </w:tr>
      <w:tr w14:paraId="140683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4" w:hRule="atLeast"/>
          <w:jc w:val="center"/>
        </w:trPr>
        <w:tc>
          <w:tcPr>
            <w:tcW w:w="410" w:type="pct"/>
            <w:tcBorders>
              <w:top w:val="single" w:color="auto" w:sz="4" w:space="0"/>
              <w:left w:val="single" w:color="auto" w:sz="4" w:space="0"/>
              <w:bottom w:val="single" w:color="auto" w:sz="4" w:space="0"/>
              <w:right w:val="single" w:color="auto" w:sz="4" w:space="0"/>
            </w:tcBorders>
            <w:shd w:val="clear" w:color="auto" w:fill="auto"/>
            <w:vAlign w:val="center"/>
          </w:tcPr>
          <w:p w14:paraId="778DF36D">
            <w:pPr>
              <w:overflowPunct w:val="0"/>
              <w:topLinePunct/>
              <w:spacing w:line="420" w:lineRule="exact"/>
              <w:jc w:val="center"/>
              <w:textAlignment w:val="center"/>
              <w:rPr>
                <w:rFonts w:hint="default" w:ascii="Times New Roman" w:hAnsi="Times New Roman" w:eastAsia="宋体" w:cs="Times New Roman"/>
                <w:b w:val="0"/>
                <w:bCs/>
                <w:kern w:val="21"/>
                <w:sz w:val="21"/>
                <w:szCs w:val="21"/>
                <w:highlight w:val="none"/>
                <w:lang w:val="en-US" w:eastAsia="zh-CN" w:bidi="ar-SA"/>
              </w:rPr>
            </w:pPr>
            <w:r>
              <w:rPr>
                <w:rFonts w:hint="eastAsia" w:ascii="宋体" w:hAnsi="宋体" w:eastAsia="宋体" w:cs="宋体"/>
                <w:b w:val="0"/>
                <w:bCs w:val="0"/>
                <w:kern w:val="21"/>
                <w:szCs w:val="21"/>
                <w:highlight w:val="none"/>
                <w:lang w:val="en-US" w:eastAsia="zh-CN"/>
              </w:rPr>
              <w:t>24</w:t>
            </w:r>
          </w:p>
        </w:tc>
        <w:tc>
          <w:tcPr>
            <w:tcW w:w="2505" w:type="pct"/>
            <w:tcBorders>
              <w:top w:val="single" w:color="auto" w:sz="4" w:space="0"/>
              <w:left w:val="single" w:color="auto" w:sz="4" w:space="0"/>
              <w:bottom w:val="single" w:color="auto" w:sz="4" w:space="0"/>
              <w:right w:val="single" w:color="auto" w:sz="4" w:space="0"/>
            </w:tcBorders>
            <w:vAlign w:val="center"/>
          </w:tcPr>
          <w:p w14:paraId="02052D79">
            <w:pPr>
              <w:overflowPunct w:val="0"/>
              <w:adjustRightInd w:val="0"/>
              <w:snapToGrid w:val="0"/>
              <w:jc w:val="center"/>
              <w:rPr>
                <w:rFonts w:hint="eastAsia" w:ascii="宋体" w:hAnsi="宋体" w:eastAsia="宋体" w:cs="宋体"/>
                <w:b w:val="0"/>
                <w:bCs/>
                <w:snapToGrid w:val="0"/>
                <w:kern w:val="21"/>
                <w:szCs w:val="21"/>
                <w:highlight w:val="none"/>
              </w:rPr>
            </w:pPr>
            <w:r>
              <w:rPr>
                <w:rFonts w:hint="eastAsia" w:ascii="宋体" w:hAnsi="宋体" w:eastAsia="宋体" w:cs="宋体"/>
                <w:b w:val="0"/>
                <w:bCs w:val="0"/>
                <w:snapToGrid w:val="0"/>
                <w:kern w:val="21"/>
                <w:szCs w:val="21"/>
                <w:highlight w:val="none"/>
              </w:rPr>
              <w:t>地表水优良水体比例（%）</w:t>
            </w:r>
          </w:p>
        </w:tc>
        <w:tc>
          <w:tcPr>
            <w:tcW w:w="1376" w:type="pct"/>
            <w:tcBorders>
              <w:top w:val="single" w:color="auto" w:sz="4" w:space="0"/>
              <w:left w:val="single" w:color="auto" w:sz="4" w:space="0"/>
              <w:bottom w:val="single" w:color="auto" w:sz="4" w:space="0"/>
              <w:right w:val="single" w:color="auto" w:sz="4" w:space="0"/>
            </w:tcBorders>
            <w:vAlign w:val="center"/>
          </w:tcPr>
          <w:p w14:paraId="3BA44CFD">
            <w:pPr>
              <w:overflowPunct w:val="0"/>
              <w:adjustRightInd w:val="0"/>
              <w:snapToGrid w:val="0"/>
              <w:jc w:val="center"/>
              <w:rPr>
                <w:rFonts w:hint="eastAsia" w:ascii="宋体" w:hAnsi="宋体" w:eastAsia="宋体" w:cs="宋体"/>
                <w:b w:val="0"/>
                <w:bCs w:val="0"/>
                <w:snapToGrid w:val="0"/>
                <w:kern w:val="21"/>
                <w:szCs w:val="21"/>
                <w:highlight w:val="none"/>
              </w:rPr>
            </w:pPr>
            <w:r>
              <w:rPr>
                <w:rFonts w:hint="eastAsia" w:ascii="宋体" w:hAnsi="宋体" w:eastAsia="宋体" w:cs="宋体"/>
                <w:b w:val="0"/>
                <w:bCs w:val="0"/>
                <w:snapToGrid w:val="0"/>
                <w:kern w:val="21"/>
                <w:szCs w:val="21"/>
                <w:highlight w:val="none"/>
              </w:rPr>
              <w:t>完成市定目标</w:t>
            </w:r>
          </w:p>
        </w:tc>
        <w:tc>
          <w:tcPr>
            <w:tcW w:w="707" w:type="pct"/>
            <w:tcBorders>
              <w:top w:val="single" w:color="auto" w:sz="4" w:space="0"/>
              <w:left w:val="single" w:color="auto" w:sz="4" w:space="0"/>
              <w:bottom w:val="single" w:color="auto" w:sz="4" w:space="0"/>
              <w:right w:val="single" w:color="auto" w:sz="4" w:space="0"/>
            </w:tcBorders>
            <w:vAlign w:val="center"/>
          </w:tcPr>
          <w:p w14:paraId="66580467">
            <w:pPr>
              <w:overflowPunct w:val="0"/>
              <w:adjustRightInd w:val="0"/>
              <w:snapToGrid w:val="0"/>
              <w:jc w:val="center"/>
              <w:rPr>
                <w:rFonts w:hint="eastAsia" w:ascii="宋体" w:hAnsi="宋体" w:eastAsia="宋体" w:cs="宋体"/>
                <w:b w:val="0"/>
                <w:bCs/>
                <w:kern w:val="21"/>
                <w:szCs w:val="21"/>
                <w:highlight w:val="none"/>
                <w:lang w:bidi="ar"/>
              </w:rPr>
            </w:pPr>
            <w:r>
              <w:rPr>
                <w:rFonts w:hint="eastAsia" w:ascii="宋体" w:hAnsi="宋体" w:eastAsia="宋体" w:cs="宋体"/>
                <w:b w:val="0"/>
                <w:bCs w:val="0"/>
                <w:snapToGrid w:val="0"/>
                <w:kern w:val="21"/>
                <w:szCs w:val="21"/>
                <w:highlight w:val="none"/>
              </w:rPr>
              <w:t>约束性</w:t>
            </w:r>
          </w:p>
        </w:tc>
      </w:tr>
      <w:tr w14:paraId="62570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4" w:hRule="atLeast"/>
          <w:jc w:val="center"/>
        </w:trPr>
        <w:tc>
          <w:tcPr>
            <w:tcW w:w="410" w:type="pct"/>
            <w:tcBorders>
              <w:top w:val="single" w:color="auto" w:sz="4" w:space="0"/>
              <w:left w:val="single" w:color="auto" w:sz="4" w:space="0"/>
              <w:bottom w:val="single" w:color="auto" w:sz="4" w:space="0"/>
              <w:right w:val="single" w:color="auto" w:sz="4" w:space="0"/>
            </w:tcBorders>
            <w:shd w:val="clear" w:color="auto" w:fill="auto"/>
            <w:vAlign w:val="center"/>
          </w:tcPr>
          <w:p w14:paraId="7EC24FDF">
            <w:pPr>
              <w:overflowPunct w:val="0"/>
              <w:topLinePunct/>
              <w:spacing w:line="420" w:lineRule="exact"/>
              <w:jc w:val="center"/>
              <w:textAlignment w:val="center"/>
              <w:rPr>
                <w:rFonts w:hint="default" w:ascii="Times New Roman" w:hAnsi="Times New Roman" w:eastAsia="宋体" w:cs="Times New Roman"/>
                <w:b w:val="0"/>
                <w:bCs/>
                <w:kern w:val="21"/>
                <w:sz w:val="21"/>
                <w:szCs w:val="21"/>
                <w:highlight w:val="none"/>
                <w:lang w:val="en-US" w:eastAsia="zh-CN" w:bidi="ar"/>
              </w:rPr>
            </w:pPr>
            <w:r>
              <w:rPr>
                <w:rFonts w:hint="eastAsia" w:ascii="宋体" w:hAnsi="宋体" w:eastAsia="宋体" w:cs="宋体"/>
                <w:b w:val="0"/>
                <w:bCs w:val="0"/>
                <w:kern w:val="21"/>
                <w:szCs w:val="21"/>
                <w:highlight w:val="none"/>
                <w:lang w:val="en-US" w:eastAsia="zh-CN" w:bidi="ar"/>
              </w:rPr>
              <w:t>25</w:t>
            </w:r>
          </w:p>
        </w:tc>
        <w:tc>
          <w:tcPr>
            <w:tcW w:w="2505" w:type="pct"/>
            <w:tcBorders>
              <w:top w:val="single" w:color="auto" w:sz="4" w:space="0"/>
              <w:left w:val="single" w:color="auto" w:sz="4" w:space="0"/>
              <w:bottom w:val="single" w:color="auto" w:sz="4" w:space="0"/>
              <w:right w:val="single" w:color="auto" w:sz="4" w:space="0"/>
            </w:tcBorders>
            <w:vAlign w:val="center"/>
          </w:tcPr>
          <w:p w14:paraId="6687B361">
            <w:pPr>
              <w:overflowPunct w:val="0"/>
              <w:adjustRightInd w:val="0"/>
              <w:snapToGrid w:val="0"/>
              <w:jc w:val="center"/>
              <w:rPr>
                <w:rFonts w:hint="eastAsia" w:ascii="宋体" w:hAnsi="宋体" w:eastAsia="宋体" w:cs="宋体"/>
                <w:b w:val="0"/>
                <w:bCs/>
                <w:snapToGrid w:val="0"/>
                <w:kern w:val="21"/>
                <w:szCs w:val="21"/>
                <w:highlight w:val="none"/>
              </w:rPr>
            </w:pPr>
            <w:r>
              <w:rPr>
                <w:rFonts w:hint="eastAsia" w:ascii="宋体" w:hAnsi="宋体" w:cs="宋体"/>
                <w:b w:val="0"/>
                <w:bCs w:val="0"/>
                <w:snapToGrid w:val="0"/>
                <w:kern w:val="21"/>
                <w:szCs w:val="21"/>
                <w:highlight w:val="none"/>
                <w:lang w:val="en-US" w:eastAsia="zh-CN"/>
              </w:rPr>
              <w:t>森林</w:t>
            </w:r>
            <w:r>
              <w:rPr>
                <w:rFonts w:hint="eastAsia" w:ascii="宋体" w:hAnsi="宋体" w:eastAsia="宋体" w:cs="宋体"/>
                <w:b w:val="0"/>
                <w:bCs w:val="0"/>
                <w:snapToGrid w:val="0"/>
                <w:kern w:val="21"/>
                <w:szCs w:val="21"/>
                <w:highlight w:val="none"/>
              </w:rPr>
              <w:t>覆盖率（%）</w:t>
            </w:r>
          </w:p>
        </w:tc>
        <w:tc>
          <w:tcPr>
            <w:tcW w:w="1376" w:type="pct"/>
            <w:tcBorders>
              <w:top w:val="single" w:color="auto" w:sz="4" w:space="0"/>
              <w:left w:val="single" w:color="auto" w:sz="4" w:space="0"/>
              <w:bottom w:val="single" w:color="auto" w:sz="4" w:space="0"/>
              <w:right w:val="single" w:color="auto" w:sz="4" w:space="0"/>
            </w:tcBorders>
            <w:vAlign w:val="center"/>
          </w:tcPr>
          <w:p w14:paraId="0749DF46">
            <w:pPr>
              <w:overflowPunct w:val="0"/>
              <w:adjustRightInd w:val="0"/>
              <w:snapToGrid w:val="0"/>
              <w:jc w:val="center"/>
              <w:rPr>
                <w:rFonts w:hint="eastAsia" w:ascii="宋体" w:hAnsi="宋体" w:eastAsia="宋体" w:cs="宋体"/>
                <w:b w:val="0"/>
                <w:bCs w:val="0"/>
                <w:snapToGrid w:val="0"/>
                <w:kern w:val="21"/>
                <w:szCs w:val="21"/>
                <w:highlight w:val="none"/>
              </w:rPr>
            </w:pPr>
            <w:r>
              <w:rPr>
                <w:rFonts w:hint="eastAsia" w:ascii="宋体" w:hAnsi="宋体" w:eastAsia="宋体" w:cs="宋体"/>
                <w:b w:val="0"/>
                <w:bCs w:val="0"/>
                <w:snapToGrid w:val="0"/>
                <w:kern w:val="21"/>
                <w:szCs w:val="21"/>
                <w:highlight w:val="none"/>
              </w:rPr>
              <w:t>完成市定目标</w:t>
            </w:r>
          </w:p>
        </w:tc>
        <w:tc>
          <w:tcPr>
            <w:tcW w:w="707" w:type="pct"/>
            <w:tcBorders>
              <w:top w:val="single" w:color="auto" w:sz="4" w:space="0"/>
              <w:left w:val="single" w:color="auto" w:sz="4" w:space="0"/>
              <w:bottom w:val="single" w:color="auto" w:sz="4" w:space="0"/>
              <w:right w:val="single" w:color="auto" w:sz="4" w:space="0"/>
            </w:tcBorders>
            <w:vAlign w:val="center"/>
          </w:tcPr>
          <w:p w14:paraId="186AA7DE">
            <w:pPr>
              <w:overflowPunct w:val="0"/>
              <w:adjustRightInd w:val="0"/>
              <w:snapToGrid w:val="0"/>
              <w:jc w:val="center"/>
              <w:rPr>
                <w:rFonts w:hint="eastAsia" w:ascii="宋体" w:hAnsi="宋体" w:eastAsia="宋体" w:cs="宋体"/>
                <w:b w:val="0"/>
                <w:bCs/>
                <w:kern w:val="21"/>
                <w:szCs w:val="21"/>
                <w:highlight w:val="none"/>
                <w:lang w:bidi="ar"/>
              </w:rPr>
            </w:pPr>
            <w:r>
              <w:rPr>
                <w:rFonts w:hint="eastAsia" w:ascii="宋体" w:hAnsi="宋体" w:eastAsia="宋体" w:cs="宋体"/>
                <w:b w:val="0"/>
                <w:bCs w:val="0"/>
                <w:snapToGrid w:val="0"/>
                <w:kern w:val="21"/>
                <w:szCs w:val="21"/>
                <w:highlight w:val="none"/>
              </w:rPr>
              <w:t>约束性</w:t>
            </w:r>
          </w:p>
        </w:tc>
      </w:tr>
      <w:tr w14:paraId="1855E7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4" w:hRule="atLeast"/>
          <w:jc w:val="center"/>
        </w:trPr>
        <w:tc>
          <w:tcPr>
            <w:tcW w:w="5000" w:type="pct"/>
            <w:gridSpan w:val="4"/>
            <w:tcBorders>
              <w:top w:val="single" w:color="auto" w:sz="4" w:space="0"/>
              <w:left w:val="single" w:color="auto" w:sz="4" w:space="0"/>
              <w:bottom w:val="single" w:color="auto" w:sz="4" w:space="0"/>
              <w:right w:val="single" w:color="auto" w:sz="4" w:space="0"/>
            </w:tcBorders>
            <w:shd w:val="clear" w:color="auto" w:fill="auto"/>
            <w:vAlign w:val="center"/>
          </w:tcPr>
          <w:p w14:paraId="671FA0C9">
            <w:pPr>
              <w:overflowPunct w:val="0"/>
              <w:adjustRightInd w:val="0"/>
              <w:snapToGrid w:val="0"/>
              <w:jc w:val="center"/>
              <w:rPr>
                <w:rFonts w:hint="eastAsia" w:ascii="宋体" w:hAnsi="宋体" w:eastAsia="宋体" w:cs="宋体"/>
                <w:b w:val="0"/>
                <w:bCs w:val="0"/>
                <w:snapToGrid w:val="0"/>
                <w:kern w:val="21"/>
                <w:sz w:val="21"/>
                <w:szCs w:val="21"/>
                <w:highlight w:val="none"/>
                <w:lang w:val="en-US" w:eastAsia="zh-CN" w:bidi="ar-SA"/>
              </w:rPr>
            </w:pPr>
            <w:r>
              <w:rPr>
                <w:rFonts w:hint="eastAsia" w:ascii="楷体_GB2312" w:hAnsi="楷体_GB2312" w:eastAsia="楷体_GB2312" w:cs="楷体_GB2312"/>
                <w:b w:val="0"/>
                <w:bCs/>
                <w:snapToGrid w:val="0"/>
                <w:kern w:val="21"/>
                <w:sz w:val="24"/>
                <w:szCs w:val="24"/>
                <w:highlight w:val="none"/>
                <w:lang w:val="en-US" w:eastAsia="zh-CN"/>
              </w:rPr>
              <w:t>四、社会文明程度高（5项）</w:t>
            </w:r>
          </w:p>
        </w:tc>
      </w:tr>
      <w:tr w14:paraId="7E4E42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4" w:hRule="atLeast"/>
          <w:jc w:val="center"/>
        </w:trPr>
        <w:tc>
          <w:tcPr>
            <w:tcW w:w="410" w:type="pct"/>
            <w:tcBorders>
              <w:top w:val="single" w:color="auto" w:sz="4" w:space="0"/>
              <w:left w:val="single" w:color="auto" w:sz="4" w:space="0"/>
              <w:bottom w:val="single" w:color="auto" w:sz="4" w:space="0"/>
              <w:right w:val="single" w:color="auto" w:sz="4" w:space="0"/>
            </w:tcBorders>
            <w:shd w:val="clear" w:color="auto" w:fill="auto"/>
            <w:vAlign w:val="center"/>
          </w:tcPr>
          <w:p w14:paraId="13C3839C">
            <w:pPr>
              <w:overflowPunct w:val="0"/>
              <w:topLinePunct/>
              <w:spacing w:line="420" w:lineRule="exact"/>
              <w:jc w:val="center"/>
              <w:textAlignment w:val="center"/>
              <w:rPr>
                <w:rFonts w:hint="default" w:ascii="宋体" w:hAnsi="宋体" w:eastAsia="宋体" w:cs="宋体"/>
                <w:b w:val="0"/>
                <w:bCs w:val="0"/>
                <w:kern w:val="21"/>
                <w:sz w:val="21"/>
                <w:szCs w:val="21"/>
                <w:highlight w:val="none"/>
                <w:lang w:val="en-US" w:eastAsia="zh-CN" w:bidi="ar"/>
              </w:rPr>
            </w:pPr>
            <w:r>
              <w:rPr>
                <w:rFonts w:hint="eastAsia" w:ascii="宋体" w:hAnsi="宋体" w:eastAsia="宋体" w:cs="宋体"/>
                <w:b w:val="0"/>
                <w:bCs w:val="0"/>
                <w:kern w:val="21"/>
                <w:szCs w:val="21"/>
                <w:highlight w:val="none"/>
                <w:lang w:val="en-US" w:eastAsia="zh-CN" w:bidi="ar"/>
              </w:rPr>
              <w:t>26</w:t>
            </w:r>
          </w:p>
        </w:tc>
        <w:tc>
          <w:tcPr>
            <w:tcW w:w="2505" w:type="pct"/>
            <w:tcBorders>
              <w:top w:val="single" w:color="auto" w:sz="4" w:space="0"/>
              <w:left w:val="single" w:color="auto" w:sz="4" w:space="0"/>
              <w:bottom w:val="single" w:color="auto" w:sz="4" w:space="0"/>
              <w:right w:val="single" w:color="auto" w:sz="4" w:space="0"/>
            </w:tcBorders>
            <w:shd w:val="clear" w:color="auto" w:fill="auto"/>
            <w:vAlign w:val="center"/>
          </w:tcPr>
          <w:p w14:paraId="4ABDD9DD">
            <w:pPr>
              <w:overflowPunct w:val="0"/>
              <w:adjustRightInd w:val="0"/>
              <w:snapToGrid w:val="0"/>
              <w:jc w:val="center"/>
              <w:rPr>
                <w:rFonts w:hint="eastAsia" w:ascii="宋体" w:hAnsi="宋体" w:eastAsia="宋体" w:cs="宋体"/>
                <w:b w:val="0"/>
                <w:bCs w:val="0"/>
                <w:snapToGrid w:val="0"/>
                <w:kern w:val="21"/>
                <w:sz w:val="21"/>
                <w:szCs w:val="21"/>
                <w:highlight w:val="none"/>
                <w:lang w:val="en-US" w:eastAsia="zh-CN" w:bidi="ar-SA"/>
              </w:rPr>
            </w:pPr>
            <w:r>
              <w:rPr>
                <w:rFonts w:hint="eastAsia" w:ascii="宋体" w:hAnsi="宋体" w:eastAsia="宋体" w:cs="宋体"/>
                <w:b w:val="0"/>
                <w:bCs w:val="0"/>
                <w:snapToGrid w:val="0"/>
                <w:kern w:val="21"/>
                <w:szCs w:val="21"/>
                <w:highlight w:val="none"/>
              </w:rPr>
              <w:t>劳动年龄人口平均受教育年限（年）</w:t>
            </w:r>
          </w:p>
        </w:tc>
        <w:tc>
          <w:tcPr>
            <w:tcW w:w="1376" w:type="pct"/>
            <w:tcBorders>
              <w:top w:val="single" w:color="auto" w:sz="4" w:space="0"/>
              <w:left w:val="single" w:color="auto" w:sz="4" w:space="0"/>
              <w:bottom w:val="single" w:color="auto" w:sz="4" w:space="0"/>
              <w:right w:val="single" w:color="auto" w:sz="4" w:space="0"/>
            </w:tcBorders>
            <w:shd w:val="clear" w:color="auto" w:fill="auto"/>
            <w:vAlign w:val="center"/>
          </w:tcPr>
          <w:p w14:paraId="69790DE1">
            <w:pPr>
              <w:overflowPunct w:val="0"/>
              <w:adjustRightInd w:val="0"/>
              <w:snapToGrid w:val="0"/>
              <w:jc w:val="center"/>
              <w:rPr>
                <w:rFonts w:hint="eastAsia" w:ascii="宋体" w:hAnsi="宋体" w:eastAsia="宋体" w:cs="宋体"/>
                <w:b w:val="0"/>
                <w:bCs w:val="0"/>
                <w:snapToGrid w:val="0"/>
                <w:kern w:val="21"/>
                <w:sz w:val="21"/>
                <w:szCs w:val="21"/>
                <w:highlight w:val="none"/>
                <w:lang w:val="en-US" w:eastAsia="zh-CN" w:bidi="ar-SA"/>
              </w:rPr>
            </w:pPr>
            <w:r>
              <w:rPr>
                <w:rFonts w:hint="eastAsia" w:ascii="宋体" w:hAnsi="宋体" w:eastAsia="宋体" w:cs="宋体"/>
                <w:b w:val="0"/>
                <w:bCs w:val="0"/>
                <w:snapToGrid w:val="0"/>
                <w:kern w:val="21"/>
                <w:sz w:val="21"/>
                <w:szCs w:val="21"/>
                <w:highlight w:val="none"/>
                <w:lang w:val="en-US" w:eastAsia="zh-CN" w:bidi="ar-SA"/>
              </w:rPr>
              <w:t>12.6</w:t>
            </w:r>
          </w:p>
        </w:tc>
        <w:tc>
          <w:tcPr>
            <w:tcW w:w="707" w:type="pct"/>
            <w:tcBorders>
              <w:top w:val="single" w:color="auto" w:sz="4" w:space="0"/>
              <w:left w:val="single" w:color="auto" w:sz="4" w:space="0"/>
              <w:bottom w:val="single" w:color="auto" w:sz="4" w:space="0"/>
              <w:right w:val="single" w:color="auto" w:sz="4" w:space="0"/>
            </w:tcBorders>
            <w:shd w:val="clear" w:color="auto" w:fill="auto"/>
            <w:vAlign w:val="center"/>
          </w:tcPr>
          <w:p w14:paraId="41EBE671">
            <w:pPr>
              <w:overflowPunct w:val="0"/>
              <w:adjustRightInd w:val="0"/>
              <w:snapToGrid w:val="0"/>
              <w:jc w:val="center"/>
              <w:rPr>
                <w:rFonts w:hint="eastAsia" w:ascii="宋体" w:hAnsi="宋体" w:eastAsia="宋体" w:cs="宋体"/>
                <w:b w:val="0"/>
                <w:bCs w:val="0"/>
                <w:snapToGrid w:val="0"/>
                <w:kern w:val="21"/>
                <w:sz w:val="21"/>
                <w:szCs w:val="21"/>
                <w:highlight w:val="none"/>
                <w:lang w:val="en-US" w:eastAsia="zh-CN" w:bidi="ar-SA"/>
              </w:rPr>
            </w:pPr>
            <w:r>
              <w:rPr>
                <w:rFonts w:hint="eastAsia" w:ascii="宋体" w:hAnsi="宋体" w:eastAsia="宋体" w:cs="宋体"/>
                <w:b w:val="0"/>
                <w:bCs w:val="0"/>
                <w:snapToGrid w:val="0"/>
                <w:kern w:val="21"/>
                <w:sz w:val="21"/>
                <w:szCs w:val="21"/>
                <w:highlight w:val="none"/>
                <w:lang w:val="en-US" w:eastAsia="zh-CN" w:bidi="ar-SA"/>
              </w:rPr>
              <w:t>约束性</w:t>
            </w:r>
          </w:p>
        </w:tc>
      </w:tr>
      <w:tr w14:paraId="41BCE3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4" w:hRule="atLeast"/>
          <w:jc w:val="center"/>
        </w:trPr>
        <w:tc>
          <w:tcPr>
            <w:tcW w:w="410" w:type="pct"/>
            <w:tcBorders>
              <w:top w:val="single" w:color="auto" w:sz="4" w:space="0"/>
              <w:left w:val="single" w:color="auto" w:sz="4" w:space="0"/>
              <w:bottom w:val="single" w:color="auto" w:sz="4" w:space="0"/>
              <w:right w:val="single" w:color="auto" w:sz="4" w:space="0"/>
            </w:tcBorders>
            <w:shd w:val="clear" w:color="auto" w:fill="auto"/>
            <w:vAlign w:val="center"/>
          </w:tcPr>
          <w:p w14:paraId="2015097D">
            <w:pPr>
              <w:overflowPunct w:val="0"/>
              <w:topLinePunct/>
              <w:spacing w:line="420" w:lineRule="exact"/>
              <w:jc w:val="center"/>
              <w:textAlignment w:val="center"/>
              <w:rPr>
                <w:rFonts w:hint="eastAsia" w:ascii="宋体" w:hAnsi="宋体" w:eastAsia="宋体" w:cs="宋体"/>
                <w:b w:val="0"/>
                <w:bCs w:val="0"/>
                <w:kern w:val="21"/>
                <w:sz w:val="21"/>
                <w:szCs w:val="21"/>
                <w:highlight w:val="none"/>
                <w:lang w:val="en-US" w:eastAsia="zh-CN" w:bidi="ar"/>
              </w:rPr>
            </w:pPr>
            <w:r>
              <w:rPr>
                <w:rFonts w:hint="eastAsia" w:ascii="宋体" w:hAnsi="宋体" w:eastAsia="宋体" w:cs="宋体"/>
                <w:b w:val="0"/>
                <w:bCs w:val="0"/>
                <w:kern w:val="21"/>
                <w:szCs w:val="21"/>
                <w:highlight w:val="none"/>
                <w:lang w:val="en-US" w:eastAsia="zh-CN" w:bidi="ar"/>
              </w:rPr>
              <w:t>27</w:t>
            </w:r>
          </w:p>
        </w:tc>
        <w:tc>
          <w:tcPr>
            <w:tcW w:w="2505" w:type="pct"/>
            <w:tcBorders>
              <w:top w:val="single" w:color="auto" w:sz="4" w:space="0"/>
              <w:left w:val="single" w:color="auto" w:sz="4" w:space="0"/>
              <w:bottom w:val="single" w:color="auto" w:sz="4" w:space="0"/>
              <w:right w:val="single" w:color="auto" w:sz="4" w:space="0"/>
            </w:tcBorders>
            <w:shd w:val="clear" w:color="auto" w:fill="auto"/>
            <w:vAlign w:val="center"/>
          </w:tcPr>
          <w:p w14:paraId="12B567AA">
            <w:pPr>
              <w:overflowPunct w:val="0"/>
              <w:adjustRightInd w:val="0"/>
              <w:snapToGrid w:val="0"/>
              <w:jc w:val="center"/>
              <w:rPr>
                <w:rFonts w:hint="eastAsia" w:ascii="宋体" w:hAnsi="宋体" w:eastAsia="宋体" w:cs="宋体"/>
                <w:b w:val="0"/>
                <w:bCs w:val="0"/>
                <w:snapToGrid w:val="0"/>
                <w:kern w:val="21"/>
                <w:sz w:val="21"/>
                <w:szCs w:val="21"/>
                <w:highlight w:val="none"/>
                <w:lang w:val="en-US" w:eastAsia="zh-CN" w:bidi="ar-SA"/>
              </w:rPr>
            </w:pPr>
            <w:r>
              <w:rPr>
                <w:rFonts w:hint="eastAsia" w:ascii="宋体" w:hAnsi="宋体" w:eastAsia="宋体" w:cs="宋体"/>
                <w:b w:val="0"/>
                <w:bCs w:val="0"/>
                <w:strike w:val="0"/>
                <w:dstrike w:val="0"/>
                <w:snapToGrid w:val="0"/>
                <w:kern w:val="21"/>
                <w:szCs w:val="21"/>
                <w:highlight w:val="none"/>
                <w:lang w:val="en-US" w:eastAsia="zh-CN"/>
              </w:rPr>
              <w:t>新增大专以上学历人才</w:t>
            </w:r>
            <w:r>
              <w:rPr>
                <w:rFonts w:hint="eastAsia" w:ascii="宋体" w:hAnsi="宋体" w:eastAsia="宋体" w:cs="宋体"/>
                <w:b w:val="0"/>
                <w:bCs w:val="0"/>
                <w:strike w:val="0"/>
                <w:dstrike w:val="0"/>
                <w:snapToGrid w:val="0"/>
                <w:kern w:val="21"/>
                <w:szCs w:val="21"/>
                <w:highlight w:val="none"/>
              </w:rPr>
              <w:t>（万人）</w:t>
            </w:r>
          </w:p>
        </w:tc>
        <w:tc>
          <w:tcPr>
            <w:tcW w:w="1376" w:type="pct"/>
            <w:tcBorders>
              <w:top w:val="single" w:color="auto" w:sz="4" w:space="0"/>
              <w:left w:val="single" w:color="auto" w:sz="4" w:space="0"/>
              <w:bottom w:val="single" w:color="auto" w:sz="4" w:space="0"/>
              <w:right w:val="single" w:color="auto" w:sz="4" w:space="0"/>
            </w:tcBorders>
            <w:shd w:val="clear" w:color="auto" w:fill="auto"/>
            <w:vAlign w:val="center"/>
          </w:tcPr>
          <w:p w14:paraId="318E738D">
            <w:pPr>
              <w:overflowPunct w:val="0"/>
              <w:adjustRightInd w:val="0"/>
              <w:snapToGrid w:val="0"/>
              <w:jc w:val="center"/>
              <w:rPr>
                <w:rFonts w:hint="eastAsia" w:ascii="宋体" w:hAnsi="宋体" w:eastAsia="宋体" w:cs="宋体"/>
                <w:b w:val="0"/>
                <w:bCs w:val="0"/>
                <w:snapToGrid w:val="0"/>
                <w:kern w:val="21"/>
                <w:sz w:val="21"/>
                <w:szCs w:val="21"/>
                <w:highlight w:val="none"/>
                <w:lang w:val="en-US" w:eastAsia="zh-CN" w:bidi="ar-SA"/>
              </w:rPr>
            </w:pPr>
            <w:r>
              <w:rPr>
                <w:rFonts w:hint="eastAsia" w:ascii="宋体" w:hAnsi="宋体" w:eastAsia="宋体" w:cs="宋体"/>
                <w:b w:val="0"/>
                <w:bCs w:val="0"/>
                <w:snapToGrid w:val="0"/>
                <w:kern w:val="21"/>
                <w:szCs w:val="21"/>
                <w:highlight w:val="none"/>
                <w:lang w:val="en-US" w:eastAsia="zh-CN"/>
              </w:rPr>
              <w:t>15</w:t>
            </w:r>
          </w:p>
        </w:tc>
        <w:tc>
          <w:tcPr>
            <w:tcW w:w="707" w:type="pct"/>
            <w:tcBorders>
              <w:top w:val="single" w:color="auto" w:sz="4" w:space="0"/>
              <w:left w:val="single" w:color="auto" w:sz="4" w:space="0"/>
              <w:bottom w:val="single" w:color="auto" w:sz="4" w:space="0"/>
              <w:right w:val="single" w:color="auto" w:sz="4" w:space="0"/>
            </w:tcBorders>
            <w:shd w:val="clear" w:color="auto" w:fill="auto"/>
            <w:vAlign w:val="center"/>
          </w:tcPr>
          <w:p w14:paraId="736E38D9">
            <w:pPr>
              <w:overflowPunct w:val="0"/>
              <w:adjustRightInd w:val="0"/>
              <w:snapToGrid w:val="0"/>
              <w:jc w:val="center"/>
              <w:rPr>
                <w:rFonts w:hint="eastAsia" w:ascii="宋体" w:hAnsi="宋体" w:eastAsia="宋体" w:cs="宋体"/>
                <w:b w:val="0"/>
                <w:bCs w:val="0"/>
                <w:snapToGrid w:val="0"/>
                <w:kern w:val="21"/>
                <w:sz w:val="21"/>
                <w:szCs w:val="21"/>
                <w:highlight w:val="none"/>
                <w:lang w:val="en-US" w:eastAsia="zh-CN" w:bidi="ar-SA"/>
              </w:rPr>
            </w:pPr>
            <w:r>
              <w:rPr>
                <w:rFonts w:hint="eastAsia" w:ascii="宋体" w:hAnsi="宋体" w:eastAsia="宋体" w:cs="宋体"/>
                <w:b w:val="0"/>
                <w:bCs w:val="0"/>
                <w:snapToGrid w:val="0"/>
                <w:kern w:val="21"/>
                <w:szCs w:val="21"/>
                <w:highlight w:val="none"/>
              </w:rPr>
              <w:t>预期性</w:t>
            </w:r>
          </w:p>
        </w:tc>
      </w:tr>
      <w:tr w14:paraId="6B9C36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4" w:hRule="atLeast"/>
          <w:jc w:val="center"/>
        </w:trPr>
        <w:tc>
          <w:tcPr>
            <w:tcW w:w="410" w:type="pct"/>
            <w:tcBorders>
              <w:top w:val="single" w:color="auto" w:sz="4" w:space="0"/>
              <w:left w:val="single" w:color="auto" w:sz="4" w:space="0"/>
              <w:bottom w:val="single" w:color="auto" w:sz="4" w:space="0"/>
              <w:right w:val="single" w:color="auto" w:sz="4" w:space="0"/>
            </w:tcBorders>
            <w:shd w:val="clear" w:color="auto" w:fill="auto"/>
            <w:vAlign w:val="center"/>
          </w:tcPr>
          <w:p w14:paraId="55101CBC">
            <w:pPr>
              <w:overflowPunct w:val="0"/>
              <w:topLinePunct/>
              <w:spacing w:line="420" w:lineRule="exact"/>
              <w:jc w:val="center"/>
              <w:textAlignment w:val="center"/>
              <w:rPr>
                <w:rFonts w:hint="eastAsia" w:ascii="宋体" w:hAnsi="宋体" w:eastAsia="宋体" w:cs="宋体"/>
                <w:b w:val="0"/>
                <w:bCs w:val="0"/>
                <w:kern w:val="21"/>
                <w:sz w:val="21"/>
                <w:szCs w:val="21"/>
                <w:highlight w:val="none"/>
                <w:lang w:val="en-US" w:eastAsia="zh-CN" w:bidi="ar"/>
              </w:rPr>
            </w:pPr>
            <w:r>
              <w:rPr>
                <w:rFonts w:hint="eastAsia" w:ascii="宋体" w:hAnsi="宋体" w:eastAsia="宋体" w:cs="宋体"/>
                <w:b w:val="0"/>
                <w:bCs w:val="0"/>
                <w:kern w:val="21"/>
                <w:szCs w:val="21"/>
                <w:highlight w:val="none"/>
                <w:lang w:val="en-US" w:eastAsia="zh-CN" w:bidi="ar"/>
              </w:rPr>
              <w:t>28</w:t>
            </w:r>
          </w:p>
        </w:tc>
        <w:tc>
          <w:tcPr>
            <w:tcW w:w="2505" w:type="pct"/>
            <w:tcBorders>
              <w:top w:val="single" w:color="auto" w:sz="4" w:space="0"/>
              <w:left w:val="single" w:color="auto" w:sz="4" w:space="0"/>
              <w:bottom w:val="single" w:color="auto" w:sz="4" w:space="0"/>
              <w:right w:val="single" w:color="auto" w:sz="4" w:space="0"/>
            </w:tcBorders>
            <w:shd w:val="clear" w:color="auto" w:fill="auto"/>
            <w:vAlign w:val="center"/>
          </w:tcPr>
          <w:p w14:paraId="27414371">
            <w:pPr>
              <w:overflowPunct w:val="0"/>
              <w:adjustRightInd w:val="0"/>
              <w:snapToGrid w:val="0"/>
              <w:jc w:val="center"/>
              <w:rPr>
                <w:rFonts w:hint="eastAsia" w:ascii="宋体" w:hAnsi="宋体" w:eastAsia="宋体" w:cs="宋体"/>
                <w:b w:val="0"/>
                <w:bCs w:val="0"/>
                <w:strike w:val="0"/>
                <w:dstrike w:val="0"/>
                <w:snapToGrid w:val="0"/>
                <w:kern w:val="21"/>
                <w:sz w:val="21"/>
                <w:szCs w:val="21"/>
                <w:highlight w:val="none"/>
                <w:lang w:val="en-US" w:eastAsia="zh-CN" w:bidi="ar-SA"/>
              </w:rPr>
            </w:pPr>
            <w:r>
              <w:rPr>
                <w:rFonts w:hint="eastAsia" w:ascii="宋体" w:hAnsi="宋体" w:eastAsia="宋体" w:cs="宋体"/>
                <w:b w:val="0"/>
                <w:bCs w:val="0"/>
                <w:strike w:val="0"/>
                <w:dstrike w:val="0"/>
                <w:snapToGrid w:val="0"/>
                <w:kern w:val="21"/>
                <w:szCs w:val="21"/>
                <w:highlight w:val="none"/>
                <w:lang w:val="en-US" w:eastAsia="zh-CN"/>
              </w:rPr>
              <w:t>文化产业增加值占地区生产总值比重（%）</w:t>
            </w:r>
          </w:p>
        </w:tc>
        <w:tc>
          <w:tcPr>
            <w:tcW w:w="1376" w:type="pct"/>
            <w:tcBorders>
              <w:top w:val="single" w:color="auto" w:sz="4" w:space="0"/>
              <w:left w:val="single" w:color="auto" w:sz="4" w:space="0"/>
              <w:bottom w:val="single" w:color="auto" w:sz="4" w:space="0"/>
              <w:right w:val="single" w:color="auto" w:sz="4" w:space="0"/>
            </w:tcBorders>
            <w:shd w:val="clear" w:color="auto" w:fill="auto"/>
            <w:vAlign w:val="center"/>
          </w:tcPr>
          <w:p w14:paraId="48021825">
            <w:pPr>
              <w:overflowPunct w:val="0"/>
              <w:adjustRightInd w:val="0"/>
              <w:snapToGrid w:val="0"/>
              <w:jc w:val="center"/>
              <w:rPr>
                <w:rFonts w:hint="eastAsia" w:ascii="宋体" w:hAnsi="宋体" w:eastAsia="宋体" w:cs="宋体"/>
                <w:b w:val="0"/>
                <w:bCs w:val="0"/>
                <w:snapToGrid w:val="0"/>
                <w:kern w:val="21"/>
                <w:sz w:val="21"/>
                <w:szCs w:val="21"/>
                <w:highlight w:val="none"/>
                <w:lang w:val="en-US" w:eastAsia="zh-CN" w:bidi="ar-SA"/>
              </w:rPr>
            </w:pPr>
            <w:r>
              <w:rPr>
                <w:rFonts w:hint="eastAsia" w:ascii="宋体" w:hAnsi="宋体" w:eastAsia="宋体" w:cs="宋体"/>
                <w:b w:val="0"/>
                <w:bCs w:val="0"/>
                <w:strike w:val="0"/>
                <w:color w:val="000000"/>
                <w:kern w:val="21"/>
                <w:szCs w:val="21"/>
                <w:highlight w:val="none"/>
                <w:lang w:val="en-US" w:eastAsia="zh-CN" w:bidi="ar"/>
              </w:rPr>
              <w:t>＞5</w:t>
            </w:r>
          </w:p>
        </w:tc>
        <w:tc>
          <w:tcPr>
            <w:tcW w:w="707" w:type="pct"/>
            <w:tcBorders>
              <w:top w:val="single" w:color="auto" w:sz="4" w:space="0"/>
              <w:left w:val="single" w:color="auto" w:sz="4" w:space="0"/>
              <w:bottom w:val="single" w:color="auto" w:sz="4" w:space="0"/>
              <w:right w:val="single" w:color="auto" w:sz="4" w:space="0"/>
            </w:tcBorders>
            <w:shd w:val="clear" w:color="auto" w:fill="auto"/>
            <w:vAlign w:val="center"/>
          </w:tcPr>
          <w:p w14:paraId="264D10B3">
            <w:pPr>
              <w:overflowPunct w:val="0"/>
              <w:adjustRightInd w:val="0"/>
              <w:snapToGrid w:val="0"/>
              <w:jc w:val="center"/>
              <w:rPr>
                <w:rFonts w:hint="eastAsia" w:ascii="宋体" w:hAnsi="宋体" w:eastAsia="宋体" w:cs="宋体"/>
                <w:b w:val="0"/>
                <w:bCs w:val="0"/>
                <w:snapToGrid w:val="0"/>
                <w:kern w:val="21"/>
                <w:sz w:val="21"/>
                <w:szCs w:val="21"/>
                <w:highlight w:val="none"/>
                <w:lang w:val="en-US" w:eastAsia="zh-CN" w:bidi="ar-SA"/>
              </w:rPr>
            </w:pPr>
            <w:r>
              <w:rPr>
                <w:rFonts w:hint="eastAsia" w:ascii="宋体" w:hAnsi="宋体" w:eastAsia="宋体" w:cs="宋体"/>
                <w:b w:val="0"/>
                <w:bCs w:val="0"/>
                <w:snapToGrid w:val="0"/>
                <w:kern w:val="21"/>
                <w:sz w:val="21"/>
                <w:szCs w:val="21"/>
                <w:highlight w:val="none"/>
                <w:lang w:val="en-US" w:eastAsia="zh-CN" w:bidi="ar-SA"/>
              </w:rPr>
              <w:t>预期性</w:t>
            </w:r>
          </w:p>
        </w:tc>
      </w:tr>
      <w:tr w14:paraId="7583D6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4" w:hRule="atLeast"/>
          <w:jc w:val="center"/>
        </w:trPr>
        <w:tc>
          <w:tcPr>
            <w:tcW w:w="410" w:type="pct"/>
            <w:tcBorders>
              <w:top w:val="single" w:color="auto" w:sz="4" w:space="0"/>
              <w:left w:val="single" w:color="auto" w:sz="4" w:space="0"/>
              <w:bottom w:val="single" w:color="auto" w:sz="4" w:space="0"/>
              <w:right w:val="single" w:color="auto" w:sz="4" w:space="0"/>
            </w:tcBorders>
            <w:shd w:val="clear" w:color="auto" w:fill="auto"/>
            <w:vAlign w:val="center"/>
          </w:tcPr>
          <w:p w14:paraId="4058B0F9">
            <w:pPr>
              <w:overflowPunct w:val="0"/>
              <w:topLinePunct/>
              <w:spacing w:line="420" w:lineRule="exact"/>
              <w:jc w:val="center"/>
              <w:textAlignment w:val="center"/>
              <w:rPr>
                <w:rFonts w:hint="eastAsia" w:ascii="宋体" w:hAnsi="宋体" w:eastAsia="宋体" w:cs="宋体"/>
                <w:b w:val="0"/>
                <w:bCs w:val="0"/>
                <w:kern w:val="21"/>
                <w:sz w:val="21"/>
                <w:szCs w:val="21"/>
                <w:highlight w:val="none"/>
                <w:lang w:val="en-US" w:eastAsia="zh-CN" w:bidi="ar"/>
              </w:rPr>
            </w:pPr>
            <w:r>
              <w:rPr>
                <w:rFonts w:hint="eastAsia" w:ascii="宋体" w:hAnsi="宋体" w:eastAsia="宋体" w:cs="宋体"/>
                <w:b w:val="0"/>
                <w:bCs w:val="0"/>
                <w:kern w:val="21"/>
                <w:szCs w:val="21"/>
                <w:highlight w:val="none"/>
                <w:lang w:val="en-US" w:eastAsia="zh-CN" w:bidi="ar"/>
              </w:rPr>
              <w:t>29</w:t>
            </w:r>
          </w:p>
        </w:tc>
        <w:tc>
          <w:tcPr>
            <w:tcW w:w="2505" w:type="pct"/>
            <w:tcBorders>
              <w:top w:val="single" w:color="auto" w:sz="4" w:space="0"/>
              <w:left w:val="single" w:color="auto" w:sz="4" w:space="0"/>
              <w:bottom w:val="single" w:color="auto" w:sz="4" w:space="0"/>
              <w:right w:val="single" w:color="auto" w:sz="4" w:space="0"/>
            </w:tcBorders>
            <w:shd w:val="clear" w:color="auto" w:fill="auto"/>
            <w:vAlign w:val="center"/>
          </w:tcPr>
          <w:p w14:paraId="414B4357">
            <w:pPr>
              <w:overflowPunct w:val="0"/>
              <w:adjustRightInd w:val="0"/>
              <w:snapToGrid w:val="0"/>
              <w:jc w:val="center"/>
              <w:rPr>
                <w:rFonts w:hint="eastAsia" w:ascii="宋体" w:hAnsi="宋体" w:eastAsia="宋体" w:cs="宋体"/>
                <w:b w:val="0"/>
                <w:bCs w:val="0"/>
                <w:snapToGrid w:val="0"/>
                <w:kern w:val="21"/>
                <w:sz w:val="21"/>
                <w:szCs w:val="21"/>
                <w:highlight w:val="none"/>
                <w:lang w:val="en-US" w:eastAsia="zh-CN" w:bidi="ar-SA"/>
              </w:rPr>
            </w:pPr>
            <w:r>
              <w:rPr>
                <w:rFonts w:hint="eastAsia" w:ascii="宋体" w:hAnsi="宋体" w:eastAsia="宋体" w:cs="宋体"/>
                <w:b w:val="0"/>
                <w:bCs w:val="0"/>
                <w:snapToGrid w:val="0"/>
                <w:kern w:val="21"/>
                <w:szCs w:val="21"/>
                <w:highlight w:val="none"/>
              </w:rPr>
              <w:t>法治建设满意度（</w:t>
            </w:r>
            <w:r>
              <w:rPr>
                <w:rFonts w:hint="eastAsia" w:ascii="宋体" w:hAnsi="宋体" w:eastAsia="宋体" w:cs="宋体"/>
                <w:b w:val="0"/>
                <w:bCs w:val="0"/>
                <w:snapToGrid w:val="0"/>
                <w:kern w:val="21"/>
                <w:szCs w:val="21"/>
                <w:highlight w:val="none"/>
                <w:lang w:val="en-US" w:eastAsia="zh-CN"/>
              </w:rPr>
              <w:t>分</w:t>
            </w:r>
            <w:r>
              <w:rPr>
                <w:rFonts w:hint="eastAsia" w:ascii="宋体" w:hAnsi="宋体" w:eastAsia="宋体" w:cs="宋体"/>
                <w:b w:val="0"/>
                <w:bCs w:val="0"/>
                <w:snapToGrid w:val="0"/>
                <w:kern w:val="21"/>
                <w:szCs w:val="21"/>
                <w:highlight w:val="none"/>
              </w:rPr>
              <w:t>）</w:t>
            </w:r>
          </w:p>
        </w:tc>
        <w:tc>
          <w:tcPr>
            <w:tcW w:w="1376" w:type="pct"/>
            <w:tcBorders>
              <w:top w:val="single" w:color="auto" w:sz="4" w:space="0"/>
              <w:left w:val="single" w:color="auto" w:sz="4" w:space="0"/>
              <w:bottom w:val="single" w:color="auto" w:sz="4" w:space="0"/>
              <w:right w:val="single" w:color="auto" w:sz="4" w:space="0"/>
            </w:tcBorders>
            <w:shd w:val="clear" w:color="auto" w:fill="auto"/>
            <w:vAlign w:val="center"/>
          </w:tcPr>
          <w:p w14:paraId="39726739">
            <w:pPr>
              <w:overflowPunct w:val="0"/>
              <w:adjustRightInd w:val="0"/>
              <w:snapToGrid w:val="0"/>
              <w:jc w:val="center"/>
              <w:rPr>
                <w:rFonts w:hint="eastAsia" w:ascii="宋体" w:hAnsi="宋体" w:eastAsia="宋体" w:cs="宋体"/>
                <w:b w:val="0"/>
                <w:bCs w:val="0"/>
                <w:snapToGrid w:val="0"/>
                <w:kern w:val="21"/>
                <w:sz w:val="21"/>
                <w:szCs w:val="21"/>
                <w:highlight w:val="none"/>
                <w:lang w:val="en-US" w:eastAsia="zh-CN" w:bidi="ar-SA"/>
              </w:rPr>
            </w:pPr>
            <w:r>
              <w:rPr>
                <w:rFonts w:hint="eastAsia" w:ascii="宋体" w:hAnsi="宋体" w:eastAsia="宋体" w:cs="宋体"/>
                <w:b w:val="0"/>
                <w:bCs w:val="0"/>
                <w:snapToGrid w:val="0"/>
                <w:kern w:val="21"/>
                <w:szCs w:val="21"/>
                <w:highlight w:val="none"/>
                <w:lang w:val="en-US" w:eastAsia="zh-CN"/>
              </w:rPr>
              <w:t>93</w:t>
            </w:r>
          </w:p>
        </w:tc>
        <w:tc>
          <w:tcPr>
            <w:tcW w:w="707" w:type="pct"/>
            <w:tcBorders>
              <w:top w:val="single" w:color="auto" w:sz="4" w:space="0"/>
              <w:left w:val="single" w:color="auto" w:sz="4" w:space="0"/>
              <w:bottom w:val="single" w:color="auto" w:sz="4" w:space="0"/>
              <w:right w:val="single" w:color="auto" w:sz="4" w:space="0"/>
            </w:tcBorders>
            <w:shd w:val="clear" w:color="auto" w:fill="auto"/>
            <w:vAlign w:val="center"/>
          </w:tcPr>
          <w:p w14:paraId="5E2ABD4A">
            <w:pPr>
              <w:overflowPunct w:val="0"/>
              <w:adjustRightInd w:val="0"/>
              <w:snapToGrid w:val="0"/>
              <w:jc w:val="center"/>
              <w:rPr>
                <w:rFonts w:hint="eastAsia" w:ascii="宋体" w:hAnsi="宋体" w:eastAsia="宋体" w:cs="宋体"/>
                <w:b w:val="0"/>
                <w:bCs w:val="0"/>
                <w:kern w:val="21"/>
                <w:sz w:val="21"/>
                <w:szCs w:val="21"/>
                <w:highlight w:val="none"/>
                <w:lang w:val="en-US" w:eastAsia="zh-CN" w:bidi="ar"/>
              </w:rPr>
            </w:pPr>
            <w:r>
              <w:rPr>
                <w:rFonts w:hint="eastAsia" w:ascii="宋体" w:hAnsi="宋体" w:eastAsia="宋体" w:cs="宋体"/>
                <w:b w:val="0"/>
                <w:bCs w:val="0"/>
                <w:snapToGrid w:val="0"/>
                <w:kern w:val="21"/>
                <w:szCs w:val="21"/>
                <w:highlight w:val="none"/>
              </w:rPr>
              <w:t>预期性</w:t>
            </w:r>
          </w:p>
        </w:tc>
      </w:tr>
      <w:tr w14:paraId="730E05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4" w:hRule="atLeast"/>
          <w:jc w:val="center"/>
        </w:trPr>
        <w:tc>
          <w:tcPr>
            <w:tcW w:w="410" w:type="pct"/>
            <w:tcBorders>
              <w:top w:val="single" w:color="auto" w:sz="4" w:space="0"/>
              <w:left w:val="single" w:color="auto" w:sz="4" w:space="0"/>
              <w:bottom w:val="single" w:color="auto" w:sz="4" w:space="0"/>
              <w:right w:val="single" w:color="auto" w:sz="4" w:space="0"/>
            </w:tcBorders>
            <w:shd w:val="clear" w:color="auto" w:fill="auto"/>
            <w:vAlign w:val="center"/>
          </w:tcPr>
          <w:p w14:paraId="6AFB2A77">
            <w:pPr>
              <w:overflowPunct w:val="0"/>
              <w:topLinePunct/>
              <w:spacing w:line="420" w:lineRule="exact"/>
              <w:jc w:val="center"/>
              <w:textAlignment w:val="center"/>
              <w:rPr>
                <w:rFonts w:hint="eastAsia" w:ascii="宋体" w:hAnsi="宋体" w:eastAsia="宋体" w:cs="宋体"/>
                <w:b w:val="0"/>
                <w:bCs w:val="0"/>
                <w:kern w:val="21"/>
                <w:sz w:val="21"/>
                <w:szCs w:val="21"/>
                <w:highlight w:val="none"/>
                <w:lang w:val="en-US" w:eastAsia="zh-CN" w:bidi="ar"/>
              </w:rPr>
            </w:pPr>
            <w:r>
              <w:rPr>
                <w:rFonts w:hint="eastAsia" w:ascii="宋体" w:hAnsi="宋体" w:eastAsia="宋体" w:cs="宋体"/>
                <w:b w:val="0"/>
                <w:bCs w:val="0"/>
                <w:kern w:val="21"/>
                <w:szCs w:val="21"/>
                <w:highlight w:val="none"/>
                <w:lang w:val="en-US" w:eastAsia="zh-CN" w:bidi="ar"/>
              </w:rPr>
              <w:t>30</w:t>
            </w:r>
          </w:p>
        </w:tc>
        <w:tc>
          <w:tcPr>
            <w:tcW w:w="2505" w:type="pct"/>
            <w:tcBorders>
              <w:top w:val="single" w:color="auto" w:sz="4" w:space="0"/>
              <w:left w:val="single" w:color="auto" w:sz="4" w:space="0"/>
              <w:bottom w:val="single" w:color="auto" w:sz="4" w:space="0"/>
              <w:right w:val="single" w:color="auto" w:sz="4" w:space="0"/>
            </w:tcBorders>
            <w:shd w:val="clear" w:color="auto" w:fill="auto"/>
            <w:vAlign w:val="center"/>
          </w:tcPr>
          <w:p w14:paraId="64DE266D">
            <w:pPr>
              <w:overflowPunct w:val="0"/>
              <w:adjustRightInd w:val="0"/>
              <w:snapToGrid w:val="0"/>
              <w:jc w:val="center"/>
              <w:rPr>
                <w:rFonts w:hint="eastAsia" w:ascii="宋体" w:hAnsi="宋体" w:eastAsia="宋体" w:cs="宋体"/>
                <w:b w:val="0"/>
                <w:bCs w:val="0"/>
                <w:snapToGrid w:val="0"/>
                <w:kern w:val="21"/>
                <w:sz w:val="21"/>
                <w:szCs w:val="21"/>
                <w:highlight w:val="none"/>
                <w:lang w:val="en-US" w:eastAsia="zh-CN" w:bidi="ar-SA"/>
              </w:rPr>
            </w:pPr>
            <w:r>
              <w:rPr>
                <w:rFonts w:hint="eastAsia" w:ascii="宋体" w:hAnsi="宋体" w:eastAsia="宋体" w:cs="宋体"/>
                <w:b w:val="0"/>
                <w:bCs w:val="0"/>
                <w:snapToGrid w:val="0"/>
                <w:kern w:val="21"/>
                <w:szCs w:val="21"/>
                <w:highlight w:val="none"/>
              </w:rPr>
              <w:t>生产安全事故死亡人数下降率（%）</w:t>
            </w:r>
          </w:p>
        </w:tc>
        <w:tc>
          <w:tcPr>
            <w:tcW w:w="1376" w:type="pct"/>
            <w:tcBorders>
              <w:top w:val="single" w:color="auto" w:sz="4" w:space="0"/>
              <w:left w:val="single" w:color="auto" w:sz="4" w:space="0"/>
              <w:bottom w:val="single" w:color="auto" w:sz="4" w:space="0"/>
              <w:right w:val="single" w:color="auto" w:sz="4" w:space="0"/>
            </w:tcBorders>
            <w:shd w:val="clear" w:color="auto" w:fill="auto"/>
            <w:vAlign w:val="center"/>
          </w:tcPr>
          <w:p w14:paraId="5DEB6211">
            <w:pPr>
              <w:overflowPunct w:val="0"/>
              <w:adjustRightInd w:val="0"/>
              <w:snapToGrid w:val="0"/>
              <w:jc w:val="center"/>
              <w:rPr>
                <w:rFonts w:hint="eastAsia" w:ascii="宋体" w:hAnsi="宋体" w:eastAsia="宋体" w:cs="宋体"/>
                <w:b w:val="0"/>
                <w:bCs w:val="0"/>
                <w:snapToGrid w:val="0"/>
                <w:kern w:val="21"/>
                <w:sz w:val="21"/>
                <w:szCs w:val="21"/>
                <w:highlight w:val="none"/>
                <w:lang w:val="en-US" w:eastAsia="zh-CN" w:bidi="ar-SA"/>
              </w:rPr>
            </w:pPr>
            <w:r>
              <w:rPr>
                <w:rFonts w:hint="eastAsia" w:ascii="宋体" w:hAnsi="宋体" w:eastAsia="宋体" w:cs="宋体"/>
                <w:b w:val="0"/>
                <w:bCs w:val="0"/>
                <w:snapToGrid w:val="0"/>
                <w:kern w:val="21"/>
                <w:szCs w:val="21"/>
                <w:highlight w:val="none"/>
              </w:rPr>
              <w:t>完成市定目标</w:t>
            </w:r>
          </w:p>
        </w:tc>
        <w:tc>
          <w:tcPr>
            <w:tcW w:w="707" w:type="pct"/>
            <w:tcBorders>
              <w:top w:val="single" w:color="auto" w:sz="4" w:space="0"/>
              <w:left w:val="single" w:color="auto" w:sz="4" w:space="0"/>
              <w:bottom w:val="single" w:color="auto" w:sz="4" w:space="0"/>
              <w:right w:val="single" w:color="auto" w:sz="4" w:space="0"/>
            </w:tcBorders>
            <w:shd w:val="clear" w:color="auto" w:fill="auto"/>
            <w:vAlign w:val="center"/>
          </w:tcPr>
          <w:p w14:paraId="36DCC29A">
            <w:pPr>
              <w:overflowPunct w:val="0"/>
              <w:adjustRightInd w:val="0"/>
              <w:snapToGrid w:val="0"/>
              <w:jc w:val="center"/>
              <w:rPr>
                <w:rFonts w:hint="eastAsia" w:ascii="宋体" w:hAnsi="宋体" w:eastAsia="宋体" w:cs="宋体"/>
                <w:b w:val="0"/>
                <w:bCs w:val="0"/>
                <w:kern w:val="21"/>
                <w:sz w:val="21"/>
                <w:szCs w:val="21"/>
                <w:highlight w:val="none"/>
                <w:lang w:val="en-US" w:eastAsia="zh-CN" w:bidi="ar"/>
              </w:rPr>
            </w:pPr>
            <w:r>
              <w:rPr>
                <w:rFonts w:hint="eastAsia" w:ascii="宋体" w:hAnsi="宋体" w:eastAsia="宋体" w:cs="宋体"/>
                <w:b w:val="0"/>
                <w:bCs w:val="0"/>
                <w:snapToGrid w:val="0"/>
                <w:kern w:val="21"/>
                <w:szCs w:val="21"/>
                <w:highlight w:val="none"/>
              </w:rPr>
              <w:t>约束性</w:t>
            </w:r>
          </w:p>
        </w:tc>
      </w:tr>
    </w:tbl>
    <w:p w14:paraId="2BE82FC7">
      <w:pPr>
        <w:keepNext w:val="0"/>
        <w:keepLines w:val="0"/>
        <w:pageBreakBefore w:val="0"/>
        <w:widowControl w:val="0"/>
        <w:kinsoku/>
        <w:wordWrap/>
        <w:overflowPunct w:val="0"/>
        <w:autoSpaceDE/>
        <w:autoSpaceDN/>
        <w:bidi w:val="0"/>
        <w:adjustRightInd w:val="0"/>
        <w:snapToGrid w:val="0"/>
        <w:spacing w:line="560" w:lineRule="exact"/>
        <w:ind w:firstLine="640" w:firstLineChars="200"/>
        <w:textAlignment w:val="auto"/>
        <w:rPr>
          <w:rFonts w:hint="eastAsia" w:ascii="仿宋_GB2312" w:hAnsi="微软雅黑" w:eastAsia="仿宋_GB2312" w:cs="Times New Roman"/>
          <w:kern w:val="21"/>
          <w:sz w:val="32"/>
          <w:szCs w:val="32"/>
          <w:lang w:bidi="ar"/>
        </w:rPr>
      </w:pPr>
    </w:p>
    <w:p w14:paraId="14F9B54F">
      <w:pPr>
        <w:keepNext w:val="0"/>
        <w:keepLines w:val="0"/>
        <w:pageBreakBefore w:val="0"/>
        <w:widowControl w:val="0"/>
        <w:kinsoku/>
        <w:wordWrap/>
        <w:overflowPunct w:val="0"/>
        <w:autoSpaceDE/>
        <w:autoSpaceDN/>
        <w:bidi w:val="0"/>
        <w:adjustRightInd w:val="0"/>
        <w:snapToGrid w:val="0"/>
        <w:spacing w:line="560" w:lineRule="exact"/>
        <w:ind w:firstLine="640" w:firstLineChars="200"/>
        <w:textAlignment w:val="auto"/>
        <w:rPr>
          <w:rFonts w:hint="eastAsia" w:ascii="仿宋_GB2312" w:hAnsi="微软雅黑" w:eastAsia="仿宋_GB2312" w:cs="Times New Roman"/>
          <w:kern w:val="21"/>
          <w:sz w:val="32"/>
          <w:szCs w:val="32"/>
          <w:lang w:bidi="ar"/>
        </w:rPr>
      </w:pPr>
      <w:r>
        <w:rPr>
          <w:rFonts w:hint="eastAsia" w:ascii="仿宋_GB2312" w:hAnsi="微软雅黑" w:eastAsia="仿宋_GB2312" w:cs="Times New Roman"/>
          <w:kern w:val="21"/>
          <w:sz w:val="32"/>
          <w:szCs w:val="32"/>
          <w:lang w:bidi="ar"/>
        </w:rPr>
        <w:t>在此基础上再奋斗五年，到2035年，我区综合竞争力、文化软实力、引领示范力大幅提升，人均地区生产总值和城乡居民收入达到更高水平，人民生活更加幸福美好，高水平基本实现社会主义现代化。</w:t>
      </w:r>
    </w:p>
    <w:p w14:paraId="0A8248D4">
      <w:pPr>
        <w:pStyle w:val="3"/>
        <w:keepNext w:val="0"/>
        <w:keepLines w:val="0"/>
        <w:pageBreakBefore w:val="0"/>
        <w:widowControl w:val="0"/>
        <w:kinsoku/>
        <w:wordWrap/>
        <w:overflowPunct w:val="0"/>
        <w:topLinePunct/>
        <w:autoSpaceDE/>
        <w:autoSpaceDN/>
        <w:bidi w:val="0"/>
        <w:spacing w:before="156" w:after="156" w:line="560" w:lineRule="exact"/>
        <w:textAlignment w:val="auto"/>
        <w:rPr>
          <w:rFonts w:ascii="楷体_GB2312" w:hAnsi="楷体_GB2312" w:eastAsia="楷体_GB2312" w:cs="楷体_GB2312"/>
          <w:kern w:val="21"/>
        </w:rPr>
      </w:pPr>
      <w:bookmarkStart w:id="77" w:name="_Toc12781"/>
      <w:bookmarkStart w:id="78" w:name="_Toc1846"/>
      <w:bookmarkStart w:id="79" w:name="_Toc27213"/>
      <w:bookmarkStart w:id="80" w:name="_Toc32278"/>
      <w:bookmarkStart w:id="81" w:name="_Toc1544455404"/>
      <w:bookmarkStart w:id="82" w:name="_Toc30583"/>
      <w:bookmarkStart w:id="83" w:name="_Toc1115403688"/>
      <w:bookmarkStart w:id="84" w:name="_Toc25551"/>
      <w:bookmarkStart w:id="85" w:name="_Toc27436"/>
      <w:bookmarkStart w:id="86" w:name="_Toc793056350"/>
      <w:r>
        <w:rPr>
          <w:rFonts w:ascii="楷体_GB2312" w:hAnsi="楷体_GB2312" w:eastAsia="楷体_GB2312" w:cs="楷体_GB2312"/>
          <w:kern w:val="21"/>
        </w:rPr>
        <w:t xml:space="preserve">第四节 </w:t>
      </w:r>
      <w:r>
        <w:rPr>
          <w:rFonts w:hint="eastAsia" w:ascii="楷体_GB2312" w:hAnsi="楷体_GB2312" w:eastAsia="楷体_GB2312" w:cs="楷体_GB2312"/>
          <w:kern w:val="21"/>
          <w:lang w:val="en-US" w:eastAsia="zh-CN"/>
        </w:rPr>
        <w:t xml:space="preserve"> </w:t>
      </w:r>
      <w:r>
        <w:rPr>
          <w:rFonts w:hint="eastAsia" w:ascii="楷体_GB2312" w:hAnsi="楷体_GB2312" w:eastAsia="楷体_GB2312" w:cs="楷体_GB2312"/>
          <w:kern w:val="21"/>
          <w:lang w:eastAsia="zh-CN"/>
        </w:rPr>
        <w:t>城镇发展定位</w:t>
      </w:r>
      <w:bookmarkEnd w:id="77"/>
      <w:bookmarkEnd w:id="78"/>
      <w:bookmarkEnd w:id="79"/>
      <w:bookmarkEnd w:id="80"/>
      <w:bookmarkEnd w:id="81"/>
      <w:bookmarkEnd w:id="82"/>
      <w:bookmarkEnd w:id="83"/>
      <w:bookmarkEnd w:id="84"/>
      <w:bookmarkEnd w:id="85"/>
      <w:bookmarkEnd w:id="86"/>
    </w:p>
    <w:p w14:paraId="7D821AC3">
      <w:pPr>
        <w:keepNext w:val="0"/>
        <w:keepLines w:val="0"/>
        <w:pageBreakBefore w:val="0"/>
        <w:widowControl w:val="0"/>
        <w:kinsoku/>
        <w:wordWrap/>
        <w:overflowPunct w:val="0"/>
        <w:topLinePunct/>
        <w:autoSpaceDE/>
        <w:autoSpaceDN/>
        <w:bidi w:val="0"/>
        <w:spacing w:line="560" w:lineRule="exact"/>
        <w:ind w:firstLine="640" w:firstLineChars="200"/>
        <w:textAlignment w:val="auto"/>
        <w:rPr>
          <w:rFonts w:hint="eastAsia" w:ascii="仿宋_GB2312" w:hAnsi="仿宋_GB2312" w:eastAsia="仿宋_GB2312" w:cs="仿宋_GB2312"/>
          <w:kern w:val="21"/>
          <w:sz w:val="32"/>
        </w:rPr>
      </w:pPr>
      <w:r>
        <w:rPr>
          <w:rFonts w:hint="eastAsia" w:ascii="仿宋_GB2312" w:hAnsi="仿宋_GB2312" w:eastAsia="仿宋_GB2312" w:cs="仿宋_GB2312"/>
          <w:kern w:val="21"/>
          <w:sz w:val="32"/>
        </w:rPr>
        <w:t>“十五五”时期，全面落实长三角一体化示范区</w:t>
      </w:r>
      <w:r>
        <w:rPr>
          <w:rFonts w:hint="eastAsia" w:ascii="仿宋_GB2312" w:hAnsi="仿宋_GB2312" w:eastAsia="仿宋_GB2312" w:cs="仿宋_GB2312"/>
          <w:kern w:val="21"/>
          <w:sz w:val="32"/>
          <w:lang w:eastAsia="zh-CN"/>
        </w:rPr>
        <w:t>及</w:t>
      </w:r>
      <w:r>
        <w:rPr>
          <w:rFonts w:hint="eastAsia" w:ascii="仿宋_GB2312" w:hAnsi="仿宋_GB2312" w:eastAsia="仿宋_GB2312" w:cs="仿宋_GB2312"/>
          <w:kern w:val="21"/>
          <w:sz w:val="32"/>
        </w:rPr>
        <w:t>苏州市国土空间规划，聚焦“多中心、网络化、集约型、开放式、绿色化”的总体发展空间布局</w:t>
      </w:r>
      <w:r>
        <w:rPr>
          <w:rFonts w:hint="eastAsia" w:ascii="仿宋_GB2312" w:hAnsi="仿宋_GB2312" w:eastAsia="仿宋_GB2312" w:cs="仿宋_GB2312"/>
          <w:kern w:val="21"/>
          <w:sz w:val="32"/>
          <w:lang w:eastAsia="zh-CN"/>
        </w:rPr>
        <w:t>，</w:t>
      </w:r>
      <w:r>
        <w:rPr>
          <w:rFonts w:hint="eastAsia" w:ascii="仿宋_GB2312" w:hAnsi="仿宋_GB2312" w:eastAsia="仿宋_GB2312" w:cs="仿宋_GB2312"/>
          <w:kern w:val="21"/>
          <w:sz w:val="32"/>
          <w:szCs w:val="32"/>
          <w:lang w:val="en-US" w:eastAsia="zh-CN" w:bidi="ar"/>
        </w:rPr>
        <w:t>融入</w:t>
      </w:r>
      <w:r>
        <w:rPr>
          <w:rFonts w:hint="eastAsia" w:ascii="仿宋_GB2312" w:hAnsi="仿宋_GB2312" w:eastAsia="仿宋_GB2312" w:cs="仿宋_GB2312"/>
          <w:kern w:val="21"/>
          <w:sz w:val="32"/>
          <w:szCs w:val="32"/>
          <w:lang w:bidi="ar"/>
        </w:rPr>
        <w:t>上海</w:t>
      </w:r>
      <w:r>
        <w:rPr>
          <w:rFonts w:hint="eastAsia" w:ascii="仿宋_GB2312" w:hAnsi="仿宋_GB2312" w:eastAsia="仿宋_GB2312" w:cs="仿宋_GB2312"/>
          <w:kern w:val="21"/>
          <w:sz w:val="32"/>
          <w:szCs w:val="32"/>
          <w:lang w:eastAsia="zh-CN" w:bidi="ar"/>
        </w:rPr>
        <w:t>、</w:t>
      </w:r>
      <w:r>
        <w:rPr>
          <w:rFonts w:hint="eastAsia" w:ascii="仿宋_GB2312" w:hAnsi="仿宋_GB2312" w:eastAsia="仿宋_GB2312" w:cs="仿宋_GB2312"/>
          <w:kern w:val="21"/>
          <w:sz w:val="32"/>
          <w:szCs w:val="32"/>
          <w:lang w:bidi="ar"/>
        </w:rPr>
        <w:t>联动浙江</w:t>
      </w:r>
      <w:r>
        <w:rPr>
          <w:rFonts w:hint="eastAsia" w:ascii="仿宋_GB2312" w:hAnsi="仿宋_GB2312" w:eastAsia="仿宋_GB2312" w:cs="仿宋_GB2312"/>
          <w:kern w:val="21"/>
          <w:sz w:val="32"/>
          <w:szCs w:val="32"/>
          <w:lang w:eastAsia="zh-CN" w:bidi="ar"/>
        </w:rPr>
        <w:t>，</w:t>
      </w:r>
      <w:r>
        <w:rPr>
          <w:rFonts w:hint="eastAsia" w:ascii="仿宋_GB2312" w:hAnsi="仿宋_GB2312" w:eastAsia="仿宋_GB2312" w:cs="仿宋_GB2312"/>
          <w:kern w:val="21"/>
          <w:sz w:val="32"/>
          <w:szCs w:val="32"/>
          <w:lang w:bidi="ar"/>
        </w:rPr>
        <w:t>统筹产业发展和城市功能提升，</w:t>
      </w:r>
      <w:r>
        <w:rPr>
          <w:rFonts w:hint="eastAsia" w:ascii="仿宋_GB2312" w:hAnsi="仿宋_GB2312" w:eastAsia="仿宋_GB2312" w:cs="仿宋_GB2312"/>
          <w:kern w:val="21"/>
          <w:sz w:val="32"/>
          <w:szCs w:val="32"/>
          <w:lang w:eastAsia="zh-CN" w:bidi="ar"/>
        </w:rPr>
        <w:t>通过</w:t>
      </w:r>
      <w:r>
        <w:rPr>
          <w:rFonts w:hint="eastAsia" w:ascii="仿宋_GB2312" w:hAnsi="仿宋_GB2312" w:eastAsia="仿宋_GB2312" w:cs="仿宋_GB2312"/>
          <w:kern w:val="21"/>
          <w:sz w:val="32"/>
          <w:szCs w:val="32"/>
          <w:lang w:bidi="ar"/>
        </w:rPr>
        <w:t>“生态资源</w:t>
      </w:r>
      <w:r>
        <w:rPr>
          <w:rFonts w:hint="eastAsia" w:ascii="仿宋_GB2312" w:hAnsi="仿宋_GB2312" w:eastAsia="仿宋_GB2312" w:cs="仿宋_GB2312"/>
          <w:kern w:val="21"/>
          <w:sz w:val="32"/>
          <w:szCs w:val="32"/>
          <w:lang w:eastAsia="zh-CN" w:bidi="ar"/>
        </w:rPr>
        <w:t>－</w:t>
      </w:r>
      <w:r>
        <w:rPr>
          <w:rFonts w:hint="eastAsia" w:ascii="仿宋_GB2312" w:hAnsi="仿宋_GB2312" w:eastAsia="仿宋_GB2312" w:cs="仿宋_GB2312"/>
          <w:kern w:val="21"/>
          <w:sz w:val="32"/>
          <w:szCs w:val="32"/>
          <w:lang w:bidi="ar"/>
        </w:rPr>
        <w:t>高端产业</w:t>
      </w:r>
      <w:r>
        <w:rPr>
          <w:rFonts w:hint="eastAsia" w:ascii="仿宋_GB2312" w:hAnsi="仿宋_GB2312" w:eastAsia="仿宋_GB2312" w:cs="仿宋_GB2312"/>
          <w:kern w:val="21"/>
          <w:sz w:val="32"/>
          <w:szCs w:val="32"/>
          <w:lang w:eastAsia="zh-CN" w:bidi="ar"/>
        </w:rPr>
        <w:t>－</w:t>
      </w:r>
      <w:r>
        <w:rPr>
          <w:rFonts w:hint="eastAsia" w:ascii="仿宋_GB2312" w:hAnsi="仿宋_GB2312" w:eastAsia="仿宋_GB2312" w:cs="仿宋_GB2312"/>
          <w:kern w:val="21"/>
          <w:sz w:val="32"/>
          <w:szCs w:val="32"/>
          <w:lang w:bidi="ar"/>
        </w:rPr>
        <w:t>人才集聚</w:t>
      </w:r>
      <w:r>
        <w:rPr>
          <w:rFonts w:hint="eastAsia" w:ascii="仿宋_GB2312" w:hAnsi="仿宋_GB2312" w:eastAsia="仿宋_GB2312" w:cs="仿宋_GB2312"/>
          <w:kern w:val="21"/>
          <w:sz w:val="32"/>
          <w:szCs w:val="32"/>
          <w:lang w:eastAsia="zh-CN" w:bidi="ar"/>
        </w:rPr>
        <w:t>－</w:t>
      </w:r>
      <w:r>
        <w:rPr>
          <w:rFonts w:hint="eastAsia" w:ascii="仿宋_GB2312" w:hAnsi="仿宋_GB2312" w:eastAsia="仿宋_GB2312" w:cs="仿宋_GB2312"/>
          <w:kern w:val="21"/>
          <w:sz w:val="32"/>
          <w:szCs w:val="32"/>
          <w:lang w:bidi="ar"/>
        </w:rPr>
        <w:t>活力城市”的良性循环</w:t>
      </w:r>
      <w:r>
        <w:rPr>
          <w:rFonts w:hint="eastAsia" w:ascii="仿宋_GB2312" w:hAnsi="仿宋_GB2312" w:eastAsia="仿宋_GB2312" w:cs="仿宋_GB2312"/>
          <w:kern w:val="21"/>
          <w:sz w:val="32"/>
          <w:szCs w:val="32"/>
          <w:lang w:eastAsia="zh-CN" w:bidi="ar"/>
        </w:rPr>
        <w:t>，实现区域均衡发展和生产力优化布局。</w:t>
      </w:r>
    </w:p>
    <w:p w14:paraId="168702AC">
      <w:pPr>
        <w:keepNext w:val="0"/>
        <w:keepLines w:val="0"/>
        <w:pageBreakBefore w:val="0"/>
        <w:widowControl w:val="0"/>
        <w:kinsoku/>
        <w:wordWrap/>
        <w:overflowPunct w:val="0"/>
        <w:topLinePunct/>
        <w:autoSpaceDE/>
        <w:autoSpaceDN/>
        <w:bidi w:val="0"/>
        <w:spacing w:line="560" w:lineRule="exact"/>
        <w:ind w:firstLine="643" w:firstLineChars="200"/>
        <w:textAlignment w:val="auto"/>
        <w:rPr>
          <w:rFonts w:hint="eastAsia" w:ascii="仿宋_GB2312" w:hAnsi="仿宋_GB2312" w:eastAsia="仿宋_GB2312" w:cs="仿宋_GB2312"/>
          <w:kern w:val="21"/>
          <w:sz w:val="32"/>
          <w:szCs w:val="32"/>
        </w:rPr>
      </w:pPr>
      <w:r>
        <w:rPr>
          <w:rFonts w:hint="eastAsia" w:ascii="仿宋_GB2312" w:hAnsi="仿宋_GB2312" w:eastAsia="仿宋_GB2312" w:cs="仿宋_GB2312"/>
          <w:b/>
          <w:bCs/>
          <w:kern w:val="21"/>
          <w:sz w:val="32"/>
          <w:szCs w:val="32"/>
          <w:lang w:bidi="ar"/>
        </w:rPr>
        <w:t>吴江</w:t>
      </w:r>
      <w:r>
        <w:rPr>
          <w:rFonts w:hint="eastAsia" w:ascii="仿宋_GB2312" w:hAnsi="仿宋_GB2312" w:eastAsia="仿宋_GB2312" w:cs="仿宋_GB2312"/>
          <w:b/>
          <w:bCs/>
          <w:kern w:val="21"/>
          <w:sz w:val="32"/>
          <w:szCs w:val="32"/>
          <w:lang w:eastAsia="zh-CN" w:bidi="ar"/>
        </w:rPr>
        <w:t>开发区</w:t>
      </w:r>
      <w:r>
        <w:rPr>
          <w:rFonts w:hint="eastAsia" w:ascii="仿宋_GB2312" w:hAnsi="仿宋_GB2312" w:eastAsia="仿宋_GB2312" w:cs="仿宋_GB2312"/>
          <w:b/>
          <w:bCs/>
          <w:kern w:val="21"/>
          <w:sz w:val="32"/>
          <w:szCs w:val="32"/>
          <w:lang w:bidi="ar"/>
        </w:rPr>
        <w:t>：</w:t>
      </w:r>
      <w:r>
        <w:rPr>
          <w:rFonts w:hint="eastAsia" w:ascii="仿宋_GB2312" w:hAnsi="仿宋_GB2312" w:eastAsia="仿宋_GB2312" w:cs="仿宋_GB2312"/>
          <w:kern w:val="21"/>
          <w:sz w:val="32"/>
          <w:szCs w:val="32"/>
          <w:lang w:bidi="ar"/>
        </w:rPr>
        <w:t>围绕“稳居国家级开发区第一方阵”的目标，巩固提升电子信息、高端装备等主导产业，加速壮大人工智能、半导体、新材料等新兴产业，前瞻布局生物制造、氢能、可控核聚变等未来产业，建设更具韧性现代产业集群</w:t>
      </w:r>
      <w:r>
        <w:rPr>
          <w:rFonts w:hint="eastAsia" w:ascii="仿宋_GB2312" w:hAnsi="仿宋_GB2312" w:eastAsia="仿宋_GB2312" w:cs="仿宋_GB2312"/>
          <w:kern w:val="21"/>
          <w:sz w:val="32"/>
          <w:szCs w:val="32"/>
          <w:lang w:eastAsia="zh-CN" w:bidi="ar"/>
        </w:rPr>
        <w:t>，</w:t>
      </w:r>
      <w:r>
        <w:rPr>
          <w:rFonts w:hint="eastAsia" w:ascii="仿宋_GB2312" w:hAnsi="仿宋_GB2312" w:eastAsia="仿宋_GB2312" w:cs="仿宋_GB2312"/>
          <w:kern w:val="21"/>
          <w:sz w:val="32"/>
          <w:szCs w:val="32"/>
          <w:lang w:bidi="ar"/>
        </w:rPr>
        <w:t>推动同里“古镇+农业”“古镇+湿地”农文旅融合发展，持续擦亮“千年古镇”品牌</w:t>
      </w:r>
      <w:r>
        <w:rPr>
          <w:rFonts w:hint="eastAsia" w:ascii="仿宋_GB2312" w:hAnsi="仿宋_GB2312" w:eastAsia="仿宋_GB2312" w:cs="仿宋_GB2312"/>
          <w:kern w:val="21"/>
          <w:sz w:val="32"/>
          <w:szCs w:val="32"/>
          <w:lang w:eastAsia="zh-CN" w:bidi="ar"/>
        </w:rPr>
        <w:t>，</w:t>
      </w:r>
      <w:r>
        <w:rPr>
          <w:rFonts w:hint="eastAsia" w:ascii="仿宋_GB2312" w:hAnsi="仿宋_GB2312" w:eastAsia="仿宋_GB2312" w:cs="仿宋_GB2312"/>
          <w:kern w:val="21"/>
          <w:sz w:val="32"/>
          <w:szCs w:val="32"/>
          <w:lang w:bidi="ar"/>
        </w:rPr>
        <w:t>打造高水平开放示范园区、高科技产业创新园区、高品质生态宜居园区。</w:t>
      </w:r>
    </w:p>
    <w:p w14:paraId="5F8FF511">
      <w:pPr>
        <w:pStyle w:val="21"/>
        <w:keepNext w:val="0"/>
        <w:keepLines w:val="0"/>
        <w:pageBreakBefore w:val="0"/>
        <w:widowControl w:val="0"/>
        <w:kinsoku/>
        <w:wordWrap/>
        <w:overflowPunct w:val="0"/>
        <w:topLinePunct/>
        <w:autoSpaceDE/>
        <w:autoSpaceDN/>
        <w:bidi w:val="0"/>
        <w:spacing w:line="560" w:lineRule="exact"/>
        <w:ind w:firstLineChars="200"/>
        <w:textAlignment w:val="auto"/>
        <w:rPr>
          <w:rFonts w:hint="eastAsia" w:ascii="仿宋_GB2312" w:hAnsi="仿宋_GB2312" w:eastAsia="仿宋_GB2312" w:cs="仿宋_GB2312"/>
          <w:kern w:val="21"/>
          <w:sz w:val="32"/>
          <w:szCs w:val="32"/>
          <w:lang w:bidi="ar"/>
        </w:rPr>
      </w:pPr>
      <w:r>
        <w:rPr>
          <w:rFonts w:hint="eastAsia" w:ascii="仿宋_GB2312" w:hAnsi="仿宋_GB2312" w:eastAsia="仿宋_GB2312" w:cs="仿宋_GB2312"/>
          <w:b/>
          <w:bCs/>
          <w:kern w:val="21"/>
          <w:sz w:val="32"/>
          <w:szCs w:val="32"/>
        </w:rPr>
        <w:t>汾湖</w:t>
      </w:r>
      <w:r>
        <w:rPr>
          <w:rFonts w:hint="eastAsia" w:ascii="仿宋_GB2312" w:hAnsi="仿宋_GB2312" w:eastAsia="仿宋_GB2312" w:cs="仿宋_GB2312"/>
          <w:b/>
          <w:bCs/>
          <w:kern w:val="21"/>
          <w:sz w:val="32"/>
          <w:szCs w:val="32"/>
          <w:lang w:eastAsia="zh-CN"/>
        </w:rPr>
        <w:t>高新</w:t>
      </w:r>
      <w:r>
        <w:rPr>
          <w:rFonts w:hint="eastAsia" w:ascii="仿宋_GB2312" w:hAnsi="仿宋_GB2312" w:eastAsia="仿宋_GB2312" w:cs="仿宋_GB2312"/>
          <w:b/>
          <w:bCs/>
          <w:kern w:val="21"/>
          <w:sz w:val="32"/>
          <w:szCs w:val="32"/>
        </w:rPr>
        <w:t>区</w:t>
      </w:r>
      <w:r>
        <w:rPr>
          <w:rFonts w:hint="eastAsia" w:ascii="仿宋_GB2312" w:hAnsi="仿宋_GB2312" w:eastAsia="仿宋_GB2312" w:cs="仿宋_GB2312"/>
          <w:b/>
          <w:bCs/>
          <w:kern w:val="21"/>
          <w:sz w:val="32"/>
          <w:szCs w:val="32"/>
          <w:lang w:eastAsia="zh-CN"/>
        </w:rPr>
        <w:t>（黎里镇）</w:t>
      </w:r>
      <w:r>
        <w:rPr>
          <w:rFonts w:hint="eastAsia" w:ascii="仿宋_GB2312" w:hAnsi="仿宋_GB2312" w:eastAsia="仿宋_GB2312" w:cs="仿宋_GB2312"/>
          <w:b/>
          <w:bCs/>
          <w:kern w:val="21"/>
          <w:sz w:val="32"/>
          <w:szCs w:val="32"/>
          <w:lang w:bidi="ar"/>
        </w:rPr>
        <w:t>：</w:t>
      </w:r>
      <w:r>
        <w:rPr>
          <w:rFonts w:hint="eastAsia" w:ascii="仿宋_GB2312" w:hAnsi="仿宋_GB2312" w:eastAsia="仿宋_GB2312" w:cs="仿宋_GB2312"/>
          <w:kern w:val="21"/>
          <w:sz w:val="32"/>
          <w:szCs w:val="32"/>
          <w:lang w:bidi="ar"/>
        </w:rPr>
        <w:t>发挥先行启动区示范引领作用，聚焦“科创智造+生态文旅”双轮驱动，大力发展人工智能、半导体等先导产业，培育打造以“人工智能+”、具身智能等场景应用为特色的“新智工场”，高水平建设全国首个跨省域高新区、创新驱动发展示范区、高质量发展先行区、示范区内最主要的交通门户和新江南水乡典范。</w:t>
      </w:r>
    </w:p>
    <w:p w14:paraId="23115939">
      <w:pPr>
        <w:keepNext w:val="0"/>
        <w:keepLines w:val="0"/>
        <w:pageBreakBefore w:val="0"/>
        <w:widowControl w:val="0"/>
        <w:kinsoku/>
        <w:wordWrap/>
        <w:overflowPunct w:val="0"/>
        <w:topLinePunct/>
        <w:autoSpaceDE/>
        <w:autoSpaceDN/>
        <w:bidi w:val="0"/>
        <w:spacing w:line="560" w:lineRule="exact"/>
        <w:ind w:firstLine="643" w:firstLineChars="200"/>
        <w:textAlignment w:val="auto"/>
        <w:rPr>
          <w:rFonts w:hint="eastAsia" w:ascii="仿宋_GB2312" w:hAnsi="仿宋_GB2312" w:eastAsia="仿宋_GB2312" w:cs="仿宋_GB2312"/>
          <w:kern w:val="21"/>
          <w:sz w:val="32"/>
          <w:szCs w:val="32"/>
          <w:lang w:eastAsia="zh-CN" w:bidi="ar"/>
        </w:rPr>
      </w:pPr>
      <w:r>
        <w:rPr>
          <w:rFonts w:hint="eastAsia" w:ascii="仿宋_GB2312" w:hAnsi="仿宋_GB2312" w:eastAsia="仿宋_GB2312" w:cs="仿宋_GB2312"/>
          <w:b/>
          <w:bCs/>
          <w:kern w:val="21"/>
          <w:sz w:val="32"/>
          <w:szCs w:val="32"/>
          <w:lang w:eastAsia="zh-CN"/>
        </w:rPr>
        <w:t>吴江高新区（盛泽镇）</w:t>
      </w:r>
      <w:r>
        <w:rPr>
          <w:rFonts w:hint="eastAsia" w:ascii="仿宋_GB2312" w:hAnsi="仿宋_GB2312" w:eastAsia="仿宋_GB2312" w:cs="仿宋_GB2312"/>
          <w:b/>
          <w:bCs/>
          <w:kern w:val="21"/>
          <w:sz w:val="32"/>
          <w:szCs w:val="32"/>
          <w:lang w:bidi="ar"/>
        </w:rPr>
        <w:t>：</w:t>
      </w:r>
      <w:r>
        <w:rPr>
          <w:rFonts w:hint="eastAsia" w:ascii="仿宋_GB2312" w:hAnsi="仿宋_GB2312" w:eastAsia="仿宋_GB2312" w:cs="仿宋_GB2312"/>
          <w:kern w:val="21"/>
          <w:sz w:val="32"/>
          <w:szCs w:val="32"/>
        </w:rPr>
        <w:t>厚植民营经济优势，</w:t>
      </w:r>
      <w:r>
        <w:rPr>
          <w:rFonts w:hint="eastAsia" w:ascii="仿宋_GB2312" w:hAnsi="仿宋_GB2312" w:eastAsia="仿宋_GB2312" w:cs="仿宋_GB2312"/>
          <w:kern w:val="21"/>
          <w:sz w:val="32"/>
          <w:szCs w:val="32"/>
          <w:lang w:val="en-US" w:eastAsia="zh-CN"/>
        </w:rPr>
        <w:t>深耕</w:t>
      </w:r>
      <w:r>
        <w:rPr>
          <w:rFonts w:hint="eastAsia" w:ascii="仿宋_GB2312" w:hAnsi="仿宋_GB2312" w:eastAsia="仿宋_GB2312" w:cs="仿宋_GB2312"/>
          <w:kern w:val="21"/>
          <w:sz w:val="32"/>
          <w:szCs w:val="32"/>
        </w:rPr>
        <w:t>高端纺织价值链，</w:t>
      </w:r>
      <w:r>
        <w:rPr>
          <w:rFonts w:hint="eastAsia" w:ascii="仿宋_GB2312" w:hAnsi="仿宋_GB2312" w:eastAsia="仿宋_GB2312" w:cs="仿宋_GB2312"/>
          <w:kern w:val="21"/>
          <w:sz w:val="32"/>
          <w:szCs w:val="32"/>
          <w:lang w:val="en-US" w:eastAsia="zh-CN"/>
        </w:rPr>
        <w:t>持续擦亮“丝绸古</w:t>
      </w:r>
      <w:r>
        <w:rPr>
          <w:rFonts w:hint="eastAsia" w:ascii="仿宋_GB2312" w:hAnsi="仿宋_GB2312" w:eastAsia="仿宋_GB2312" w:cs="仿宋_GB2312"/>
          <w:kern w:val="21"/>
          <w:sz w:val="32"/>
          <w:szCs w:val="32"/>
          <w:lang w:bidi="ar"/>
        </w:rPr>
        <w:t>镇</w:t>
      </w:r>
      <w:r>
        <w:rPr>
          <w:rFonts w:hint="eastAsia" w:ascii="仿宋_GB2312" w:hAnsi="仿宋_GB2312" w:eastAsia="仿宋_GB2312" w:cs="仿宋_GB2312"/>
          <w:kern w:val="21"/>
          <w:sz w:val="32"/>
          <w:szCs w:val="32"/>
          <w:lang w:eastAsia="zh-CN" w:bidi="ar"/>
        </w:rPr>
        <w:t>、</w:t>
      </w:r>
      <w:r>
        <w:rPr>
          <w:rFonts w:hint="eastAsia" w:ascii="仿宋_GB2312" w:hAnsi="仿宋_GB2312" w:eastAsia="仿宋_GB2312" w:cs="仿宋_GB2312"/>
          <w:kern w:val="21"/>
          <w:sz w:val="32"/>
          <w:szCs w:val="32"/>
          <w:lang w:bidi="ar"/>
        </w:rPr>
        <w:t>纺织名城</w:t>
      </w:r>
      <w:r>
        <w:rPr>
          <w:rFonts w:hint="eastAsia" w:ascii="仿宋_GB2312" w:hAnsi="仿宋_GB2312" w:eastAsia="仿宋_GB2312" w:cs="仿宋_GB2312"/>
          <w:kern w:val="21"/>
          <w:sz w:val="32"/>
          <w:szCs w:val="32"/>
          <w:lang w:eastAsia="zh-CN" w:bidi="ar"/>
        </w:rPr>
        <w:t>、</w:t>
      </w:r>
      <w:r>
        <w:rPr>
          <w:rFonts w:hint="eastAsia" w:ascii="仿宋_GB2312" w:hAnsi="仿宋_GB2312" w:eastAsia="仿宋_GB2312" w:cs="仿宋_GB2312"/>
          <w:kern w:val="21"/>
          <w:sz w:val="32"/>
          <w:szCs w:val="32"/>
          <w:lang w:val="en-US" w:eastAsia="zh-CN" w:bidi="ar"/>
        </w:rPr>
        <w:t>时尚</w:t>
      </w:r>
      <w:r>
        <w:rPr>
          <w:rFonts w:hint="eastAsia" w:ascii="仿宋_GB2312" w:hAnsi="仿宋_GB2312" w:eastAsia="仿宋_GB2312" w:cs="仿宋_GB2312"/>
          <w:kern w:val="21"/>
          <w:sz w:val="32"/>
          <w:szCs w:val="32"/>
          <w:lang w:bidi="ar"/>
        </w:rPr>
        <w:t>之都”</w:t>
      </w:r>
      <w:r>
        <w:rPr>
          <w:rFonts w:hint="eastAsia" w:ascii="仿宋_GB2312" w:hAnsi="仿宋_GB2312" w:eastAsia="仿宋_GB2312" w:cs="仿宋_GB2312"/>
          <w:kern w:val="21"/>
          <w:sz w:val="32"/>
          <w:szCs w:val="32"/>
          <w:lang w:val="en-US" w:eastAsia="zh-CN" w:bidi="ar"/>
        </w:rPr>
        <w:t>三张</w:t>
      </w:r>
      <w:r>
        <w:rPr>
          <w:rFonts w:hint="eastAsia" w:ascii="仿宋_GB2312" w:hAnsi="仿宋_GB2312" w:eastAsia="仿宋_GB2312" w:cs="仿宋_GB2312"/>
          <w:kern w:val="21"/>
          <w:sz w:val="32"/>
          <w:szCs w:val="32"/>
          <w:lang w:bidi="ar"/>
        </w:rPr>
        <w:t>名片，</w:t>
      </w:r>
      <w:r>
        <w:rPr>
          <w:rFonts w:hint="eastAsia" w:ascii="仿宋_GB2312" w:hAnsi="仿宋_GB2312" w:eastAsia="仿宋_GB2312" w:cs="仿宋_GB2312"/>
          <w:kern w:val="21"/>
          <w:sz w:val="32"/>
          <w:szCs w:val="32"/>
          <w:lang w:val="en-US" w:eastAsia="zh-CN"/>
        </w:rPr>
        <w:t>大力发展新材料、智能装备、现代服务业等新兴产业，</w:t>
      </w:r>
      <w:r>
        <w:rPr>
          <w:rFonts w:hint="eastAsia" w:ascii="仿宋_GB2312" w:hAnsi="仿宋_GB2312" w:eastAsia="仿宋_GB2312" w:cs="仿宋_GB2312"/>
          <w:kern w:val="21"/>
          <w:sz w:val="32"/>
          <w:szCs w:val="32"/>
          <w:lang w:bidi="ar"/>
        </w:rPr>
        <w:t>一体推进产城人融合发展，打造彰显历史底蕴、富有时代特色的现代化城镇，</w:t>
      </w:r>
      <w:r>
        <w:rPr>
          <w:rFonts w:hint="eastAsia" w:ascii="仿宋_GB2312" w:hAnsi="仿宋_GB2312" w:eastAsia="仿宋_GB2312" w:cs="仿宋_GB2312"/>
          <w:kern w:val="21"/>
          <w:sz w:val="32"/>
          <w:szCs w:val="32"/>
          <w:lang w:val="en-US" w:eastAsia="zh-CN" w:bidi="ar"/>
        </w:rPr>
        <w:t>全力建设成为江苏对接浙江的南部门户枢纽。</w:t>
      </w:r>
    </w:p>
    <w:p w14:paraId="0A99E8ED">
      <w:pPr>
        <w:keepNext w:val="0"/>
        <w:keepLines w:val="0"/>
        <w:pageBreakBefore w:val="0"/>
        <w:widowControl w:val="0"/>
        <w:kinsoku/>
        <w:wordWrap/>
        <w:overflowPunct w:val="0"/>
        <w:topLinePunct/>
        <w:autoSpaceDE/>
        <w:autoSpaceDN/>
        <w:bidi w:val="0"/>
        <w:spacing w:line="560" w:lineRule="exact"/>
        <w:ind w:firstLine="643" w:firstLineChars="200"/>
        <w:textAlignment w:val="auto"/>
        <w:rPr>
          <w:rFonts w:hint="eastAsia" w:ascii="仿宋_GB2312" w:hAnsi="仿宋_GB2312" w:eastAsia="仿宋_GB2312" w:cs="仿宋_GB2312"/>
          <w:kern w:val="21"/>
          <w:sz w:val="32"/>
          <w:szCs w:val="32"/>
          <w:lang w:eastAsia="zh-CN" w:bidi="ar"/>
        </w:rPr>
      </w:pPr>
      <w:r>
        <w:rPr>
          <w:rFonts w:hint="eastAsia" w:ascii="仿宋_GB2312" w:hAnsi="仿宋_GB2312" w:eastAsia="仿宋_GB2312" w:cs="仿宋_GB2312"/>
          <w:b/>
          <w:bCs/>
          <w:kern w:val="21"/>
          <w:sz w:val="32"/>
          <w:szCs w:val="32"/>
          <w:lang w:val="en-US" w:eastAsia="zh-CN" w:bidi="ar"/>
        </w:rPr>
        <w:t>东太湖度假区（</w:t>
      </w:r>
      <w:r>
        <w:rPr>
          <w:rFonts w:hint="eastAsia" w:ascii="仿宋_GB2312" w:hAnsi="仿宋_GB2312" w:eastAsia="仿宋_GB2312" w:cs="仿宋_GB2312"/>
          <w:b/>
          <w:bCs/>
          <w:kern w:val="21"/>
          <w:sz w:val="32"/>
          <w:szCs w:val="32"/>
          <w:lang w:eastAsia="zh-CN" w:bidi="ar"/>
        </w:rPr>
        <w:t>太湖新城</w:t>
      </w:r>
      <w:r>
        <w:rPr>
          <w:rFonts w:hint="eastAsia" w:ascii="仿宋_GB2312" w:hAnsi="仿宋_GB2312" w:eastAsia="仿宋_GB2312" w:cs="仿宋_GB2312"/>
          <w:b/>
          <w:bCs/>
          <w:kern w:val="21"/>
          <w:sz w:val="32"/>
          <w:szCs w:val="32"/>
          <w:lang w:val="en-US" w:eastAsia="zh-CN" w:bidi="ar"/>
        </w:rPr>
        <w:t>）</w:t>
      </w:r>
      <w:r>
        <w:rPr>
          <w:rFonts w:hint="eastAsia" w:ascii="仿宋_GB2312" w:hAnsi="仿宋_GB2312" w:eastAsia="仿宋_GB2312" w:cs="仿宋_GB2312"/>
          <w:b/>
          <w:bCs/>
          <w:kern w:val="21"/>
          <w:sz w:val="32"/>
          <w:szCs w:val="32"/>
          <w:lang w:eastAsia="zh-CN" w:bidi="ar"/>
        </w:rPr>
        <w:t>：</w:t>
      </w:r>
      <w:r>
        <w:rPr>
          <w:rFonts w:hint="eastAsia" w:ascii="仿宋_GB2312" w:hAnsi="仿宋_GB2312" w:eastAsia="仿宋_GB2312" w:cs="仿宋_GB2312"/>
          <w:b w:val="0"/>
          <w:bCs w:val="0"/>
          <w:kern w:val="21"/>
          <w:sz w:val="32"/>
          <w:szCs w:val="32"/>
          <w:lang w:eastAsia="zh-CN" w:bidi="ar"/>
        </w:rPr>
        <w:t>做优做美中心城区，</w:t>
      </w:r>
      <w:r>
        <w:rPr>
          <w:rFonts w:hint="eastAsia" w:ascii="仿宋_GB2312" w:hAnsi="仿宋_GB2312" w:eastAsia="仿宋_GB2312" w:cs="仿宋_GB2312"/>
          <w:kern w:val="21"/>
          <w:sz w:val="32"/>
          <w:szCs w:val="32"/>
          <w:lang w:bidi="ar"/>
        </w:rPr>
        <w:t>聚焦“数字之城、科创之城、生态之城、宜居之城”建设目标，聚力总部经济、服务经济、数字经济、创新经济、湖区经济集群发展，发挥苏州湾中央商务区、未来产业科创区、智能制造产业区等重点片区带动作用，全力打造代表苏州标识的城市高端功能区。</w:t>
      </w:r>
    </w:p>
    <w:p w14:paraId="67CAB575">
      <w:pPr>
        <w:keepNext w:val="0"/>
        <w:keepLines w:val="0"/>
        <w:pageBreakBefore w:val="0"/>
        <w:widowControl w:val="0"/>
        <w:kinsoku/>
        <w:wordWrap/>
        <w:overflowPunct w:val="0"/>
        <w:topLinePunct/>
        <w:autoSpaceDE/>
        <w:autoSpaceDN/>
        <w:bidi w:val="0"/>
        <w:spacing w:line="560" w:lineRule="exact"/>
        <w:ind w:firstLine="643" w:firstLineChars="200"/>
        <w:textAlignment w:val="auto"/>
        <w:rPr>
          <w:rFonts w:hint="eastAsia" w:ascii="仿宋_GB2312" w:hAnsi="仿宋_GB2312" w:eastAsia="仿宋_GB2312" w:cs="仿宋_GB2312"/>
          <w:kern w:val="21"/>
          <w:sz w:val="32"/>
          <w:szCs w:val="32"/>
          <w:lang w:bidi="ar"/>
        </w:rPr>
      </w:pPr>
      <w:r>
        <w:rPr>
          <w:rFonts w:hint="eastAsia" w:ascii="仿宋_GB2312" w:hAnsi="仿宋_GB2312" w:eastAsia="仿宋_GB2312" w:cs="仿宋_GB2312"/>
          <w:b/>
          <w:bCs/>
          <w:kern w:val="21"/>
          <w:sz w:val="32"/>
          <w:szCs w:val="32"/>
          <w:lang w:bidi="ar"/>
        </w:rPr>
        <w:t>七都镇：</w:t>
      </w:r>
      <w:r>
        <w:rPr>
          <w:rFonts w:hint="eastAsia" w:ascii="仿宋_GB2312" w:hAnsi="仿宋_GB2312" w:eastAsia="仿宋_GB2312" w:cs="仿宋_GB2312"/>
          <w:kern w:val="21"/>
          <w:sz w:val="32"/>
          <w:szCs w:val="32"/>
          <w:lang w:bidi="ar"/>
        </w:rPr>
        <w:t>围绕“经济强镇、生态立镇、文化兴镇”定位，不断提升新一代信息技术、前沿新材料、新能源、高端装备制造等产业能级，描绘以“南太湖风光带、七都水岸</w:t>
      </w:r>
      <w:r>
        <w:rPr>
          <w:rFonts w:hint="eastAsia" w:ascii="Times New Roman" w:hAnsi="Times New Roman" w:eastAsia="仿宋_GB2312" w:cs="Times New Roman"/>
          <w:kern w:val="21"/>
          <w:sz w:val="32"/>
          <w:szCs w:val="32"/>
          <w:lang w:bidi="ar"/>
        </w:rPr>
        <w:t>T</w:t>
      </w:r>
      <w:r>
        <w:rPr>
          <w:rFonts w:hint="eastAsia" w:ascii="仿宋_GB2312" w:hAnsi="仿宋_GB2312" w:eastAsia="仿宋_GB2312" w:cs="仿宋_GB2312"/>
          <w:kern w:val="21"/>
          <w:sz w:val="32"/>
          <w:szCs w:val="32"/>
          <w:lang w:bidi="ar"/>
        </w:rPr>
        <w:t>台、庙港乡创</w:t>
      </w:r>
      <w:r>
        <w:rPr>
          <w:rFonts w:ascii="Times New Roman" w:hAnsi="Times New Roman" w:eastAsia="仿宋_GB2312" w:cs="Times New Roman"/>
          <w:kern w:val="21"/>
          <w:sz w:val="32"/>
          <w:szCs w:val="32"/>
          <w:lang w:bidi="ar"/>
        </w:rPr>
        <w:t>O</w:t>
      </w:r>
      <w:r>
        <w:rPr>
          <w:rFonts w:hint="eastAsia" w:ascii="仿宋_GB2312" w:hAnsi="仿宋_GB2312" w:eastAsia="仿宋_GB2312" w:cs="仿宋_GB2312"/>
          <w:kern w:val="21"/>
          <w:sz w:val="32"/>
          <w:szCs w:val="32"/>
          <w:lang w:bidi="ar"/>
        </w:rPr>
        <w:t>圈”为蓝本的“最江南”鱼米之乡，持续擦亮“太湖七都”和“中</w:t>
      </w:r>
      <w:r>
        <w:rPr>
          <w:rFonts w:hint="eastAsia" w:ascii="仿宋_GB2312" w:hAnsi="仿宋_GB2312" w:eastAsia="仿宋_GB2312" w:cs="仿宋_GB2312"/>
          <w:spacing w:val="-6"/>
          <w:kern w:val="21"/>
          <w:sz w:val="32"/>
          <w:szCs w:val="32"/>
          <w:lang w:bidi="ar"/>
        </w:rPr>
        <w:t>国·江村”两大品牌，打造产业与生态相得益彰的现代化产业强镇。</w:t>
      </w:r>
    </w:p>
    <w:p w14:paraId="456A54AB">
      <w:pPr>
        <w:keepNext w:val="0"/>
        <w:keepLines w:val="0"/>
        <w:pageBreakBefore w:val="0"/>
        <w:widowControl w:val="0"/>
        <w:kinsoku/>
        <w:wordWrap/>
        <w:overflowPunct w:val="0"/>
        <w:topLinePunct/>
        <w:autoSpaceDE/>
        <w:autoSpaceDN/>
        <w:bidi w:val="0"/>
        <w:spacing w:line="560" w:lineRule="exact"/>
        <w:ind w:firstLine="643" w:firstLineChars="200"/>
        <w:textAlignment w:val="auto"/>
        <w:rPr>
          <w:rFonts w:hint="eastAsia" w:ascii="仿宋_GB2312" w:hAnsi="仿宋_GB2312" w:eastAsia="仿宋_GB2312" w:cs="仿宋_GB2312"/>
          <w:kern w:val="21"/>
          <w:sz w:val="32"/>
          <w:szCs w:val="32"/>
          <w:lang w:bidi="ar"/>
        </w:rPr>
      </w:pPr>
      <w:r>
        <w:rPr>
          <w:rFonts w:hint="eastAsia" w:ascii="仿宋_GB2312" w:hAnsi="仿宋_GB2312" w:eastAsia="仿宋_GB2312" w:cs="仿宋_GB2312"/>
          <w:b/>
          <w:bCs/>
          <w:kern w:val="21"/>
          <w:sz w:val="32"/>
          <w:szCs w:val="32"/>
          <w:lang w:bidi="ar"/>
        </w:rPr>
        <w:t>桃源镇：</w:t>
      </w:r>
      <w:r>
        <w:rPr>
          <w:rFonts w:hint="eastAsia" w:ascii="仿宋_GB2312" w:hAnsi="仿宋_GB2312" w:eastAsia="仿宋_GB2312" w:cs="仿宋_GB2312"/>
          <w:kern w:val="21"/>
          <w:sz w:val="32"/>
          <w:szCs w:val="32"/>
          <w:lang w:bidi="ar"/>
        </w:rPr>
        <w:t>以“制造强镇，生态绿廊”为发展定位，推动传统产业焕新和新兴产业壮大，创新发展高端纺织、装备制造、新材料等产业，挖掘传承吴越文化、酿酒文化等历史文化资源，强化生态涵养与产业升级协同，把生态人文优势加快转化为文旅“流量”、共富“增量”，建设宜居宜业宜游的江苏“南大门”。</w:t>
      </w:r>
    </w:p>
    <w:p w14:paraId="0A6E4C29">
      <w:pPr>
        <w:keepNext w:val="0"/>
        <w:keepLines w:val="0"/>
        <w:pageBreakBefore w:val="0"/>
        <w:widowControl w:val="0"/>
        <w:kinsoku/>
        <w:wordWrap/>
        <w:overflowPunct w:val="0"/>
        <w:topLinePunct/>
        <w:autoSpaceDE/>
        <w:autoSpaceDN/>
        <w:bidi w:val="0"/>
        <w:spacing w:line="560" w:lineRule="exact"/>
        <w:ind w:firstLine="643" w:firstLineChars="200"/>
        <w:textAlignment w:val="auto"/>
        <w:rPr>
          <w:rFonts w:hint="eastAsia" w:ascii="仿宋_GB2312" w:hAnsi="仿宋_GB2312" w:eastAsia="仿宋_GB2312" w:cs="仿宋_GB2312"/>
          <w:kern w:val="21"/>
          <w:sz w:val="32"/>
          <w:szCs w:val="32"/>
          <w:lang w:bidi="ar"/>
        </w:rPr>
      </w:pPr>
      <w:r>
        <w:rPr>
          <w:rFonts w:hint="eastAsia" w:ascii="仿宋_GB2312" w:hAnsi="仿宋_GB2312" w:eastAsia="仿宋_GB2312" w:cs="仿宋_GB2312"/>
          <w:b/>
          <w:bCs/>
          <w:kern w:val="21"/>
          <w:sz w:val="32"/>
          <w:szCs w:val="32"/>
          <w:lang w:bidi="ar"/>
        </w:rPr>
        <w:t>震泽镇：</w:t>
      </w:r>
      <w:r>
        <w:rPr>
          <w:rFonts w:hint="eastAsia" w:ascii="仿宋_GB2312" w:hAnsi="仿宋_GB2312" w:eastAsia="仿宋_GB2312" w:cs="仿宋_GB2312"/>
          <w:kern w:val="21"/>
          <w:sz w:val="32"/>
          <w:szCs w:val="32"/>
          <w:lang w:bidi="ar"/>
        </w:rPr>
        <w:t>以“丝绸名镇·特色智造”为定位，统筹“三生融合”，推进丝绸纺织、高端装备、新能源、新材料等产业强链升级，深化水乡再塑和古镇保护，推动农文旅一体化发展，打造“水韵桑田、村美业特”的乡村振兴样板，</w:t>
      </w:r>
      <w:r>
        <w:rPr>
          <w:rFonts w:hint="eastAsia" w:ascii="仿宋_GB2312" w:hAnsi="仿宋_GB2312" w:eastAsia="仿宋_GB2312" w:cs="仿宋_GB2312"/>
          <w:kern w:val="21"/>
          <w:sz w:val="32"/>
          <w:szCs w:val="32"/>
          <w:lang w:val="en-US" w:eastAsia="zh-CN" w:bidi="ar"/>
        </w:rPr>
        <w:t>绘就</w:t>
      </w:r>
      <w:r>
        <w:rPr>
          <w:rFonts w:hint="eastAsia" w:ascii="仿宋_GB2312" w:hAnsi="仿宋_GB2312" w:eastAsia="仿宋_GB2312" w:cs="仿宋_GB2312"/>
          <w:kern w:val="21"/>
          <w:sz w:val="32"/>
          <w:szCs w:val="32"/>
          <w:lang w:bidi="ar"/>
        </w:rPr>
        <w:t>千年古镇、田园乡村、丝绸生活交相辉映的发展新图景。</w:t>
      </w:r>
    </w:p>
    <w:p w14:paraId="555D34E0">
      <w:pPr>
        <w:keepNext w:val="0"/>
        <w:keepLines w:val="0"/>
        <w:pageBreakBefore w:val="0"/>
        <w:widowControl w:val="0"/>
        <w:kinsoku/>
        <w:wordWrap/>
        <w:overflowPunct w:val="0"/>
        <w:topLinePunct/>
        <w:autoSpaceDE/>
        <w:autoSpaceDN/>
        <w:bidi w:val="0"/>
        <w:spacing w:line="560" w:lineRule="exact"/>
        <w:ind w:firstLine="643" w:firstLineChars="200"/>
        <w:textAlignment w:val="auto"/>
        <w:rPr>
          <w:rFonts w:hint="eastAsia" w:ascii="仿宋_GB2312" w:hAnsi="仿宋_GB2312" w:eastAsia="仿宋_GB2312" w:cs="仿宋_GB2312"/>
          <w:kern w:val="21"/>
          <w:sz w:val="32"/>
          <w:szCs w:val="32"/>
          <w:lang w:bidi="ar"/>
        </w:rPr>
      </w:pPr>
      <w:r>
        <w:rPr>
          <w:rFonts w:hint="eastAsia" w:ascii="仿宋_GB2312" w:hAnsi="仿宋_GB2312" w:eastAsia="仿宋_GB2312" w:cs="仿宋_GB2312"/>
          <w:b/>
          <w:bCs/>
          <w:kern w:val="21"/>
          <w:sz w:val="32"/>
          <w:szCs w:val="32"/>
          <w:lang w:bidi="ar"/>
        </w:rPr>
        <w:t>平望镇：</w:t>
      </w:r>
      <w:r>
        <w:rPr>
          <w:rFonts w:hint="eastAsia" w:ascii="仿宋_GB2312" w:hAnsi="仿宋_GB2312" w:eastAsia="仿宋_GB2312" w:cs="仿宋_GB2312"/>
          <w:kern w:val="21"/>
          <w:sz w:val="32"/>
          <w:szCs w:val="32"/>
          <w:lang w:bidi="ar"/>
        </w:rPr>
        <w:t>发挥水陆交通便利、经济发达镇改革等优势，围绕“交通区位、产业创新、生态宜居、文化传承”核心要素，提升纺织功能性材料、碳纤维等先进制造产业能级，培育中医康养、古镇旅游、乡村文旅等功能，建设产业强、文化兴、交通达、生态优的通运康养水乡运河名镇。</w:t>
      </w:r>
    </w:p>
    <w:p w14:paraId="08437B5B">
      <w:pPr>
        <w:overflowPunct w:val="0"/>
        <w:topLinePunct/>
        <w:rPr>
          <w:kern w:val="21"/>
        </w:rPr>
      </w:pPr>
      <w:r>
        <w:rPr>
          <w:kern w:val="21"/>
        </w:rPr>
        <w:br w:type="page"/>
      </w:r>
    </w:p>
    <w:p w14:paraId="4D102D66">
      <w:pPr>
        <w:pStyle w:val="2"/>
        <w:overflowPunct w:val="0"/>
        <w:topLinePunct/>
        <w:spacing w:line="560" w:lineRule="exact"/>
        <w:jc w:val="center"/>
        <w:rPr>
          <w:kern w:val="21"/>
        </w:rPr>
      </w:pPr>
      <w:bookmarkStart w:id="87" w:name="_Toc14763"/>
      <w:bookmarkStart w:id="88" w:name="_Toc13893"/>
      <w:bookmarkStart w:id="89" w:name="_Toc20241"/>
      <w:bookmarkStart w:id="90" w:name="_Toc94394965"/>
      <w:bookmarkStart w:id="91" w:name="_Toc29730"/>
      <w:bookmarkStart w:id="92" w:name="_Toc1940247365"/>
      <w:bookmarkStart w:id="93" w:name="_Toc2131761256"/>
      <w:bookmarkStart w:id="94" w:name="_Toc26707"/>
      <w:bookmarkStart w:id="95" w:name="_Toc28815"/>
      <w:bookmarkStart w:id="96" w:name="_Toc5657"/>
      <w:r>
        <w:rPr>
          <w:rFonts w:hint="eastAsia"/>
          <w:kern w:val="21"/>
        </w:rPr>
        <w:t>第</w:t>
      </w:r>
      <w:r>
        <w:rPr>
          <w:rFonts w:hint="eastAsia"/>
          <w:kern w:val="21"/>
          <w:lang w:eastAsia="zh-CN"/>
        </w:rPr>
        <w:t>三</w:t>
      </w:r>
      <w:r>
        <w:rPr>
          <w:rFonts w:hint="eastAsia"/>
          <w:kern w:val="21"/>
        </w:rPr>
        <w:t xml:space="preserve">章  </w:t>
      </w:r>
      <w:bookmarkEnd w:id="87"/>
      <w:bookmarkEnd w:id="88"/>
      <w:bookmarkEnd w:id="89"/>
      <w:bookmarkEnd w:id="90"/>
      <w:bookmarkEnd w:id="91"/>
      <w:r>
        <w:rPr>
          <w:rFonts w:hint="eastAsia"/>
          <w:kern w:val="21"/>
        </w:rPr>
        <w:t>夯实实体经济根基，加快建设现代化产业体系</w:t>
      </w:r>
      <w:bookmarkEnd w:id="92"/>
      <w:bookmarkEnd w:id="93"/>
      <w:bookmarkEnd w:id="94"/>
      <w:bookmarkEnd w:id="95"/>
      <w:bookmarkEnd w:id="96"/>
    </w:p>
    <w:p w14:paraId="3188D41C">
      <w:pPr>
        <w:overflowPunct w:val="0"/>
        <w:topLinePunct/>
        <w:spacing w:line="560" w:lineRule="exact"/>
        <w:ind w:firstLine="640" w:firstLineChars="200"/>
        <w:rPr>
          <w:rFonts w:hint="eastAsia" w:ascii="仿宋_GB2312" w:hAnsi="仿宋_GB2312" w:eastAsia="仿宋_GB2312" w:cs="仿宋_GB2312"/>
          <w:kern w:val="21"/>
          <w:sz w:val="32"/>
          <w:szCs w:val="32"/>
        </w:rPr>
      </w:pPr>
    </w:p>
    <w:p w14:paraId="30767AD5">
      <w:pPr>
        <w:overflowPunct w:val="0"/>
        <w:topLinePunct/>
        <w:spacing w:line="560" w:lineRule="exact"/>
        <w:ind w:firstLine="640" w:firstLineChars="200"/>
        <w:rPr>
          <w:rFonts w:hint="eastAsia" w:ascii="仿宋_GB2312" w:hAnsi="仿宋_GB2312" w:eastAsia="仿宋_GB2312" w:cs="仿宋_GB2312"/>
          <w:kern w:val="21"/>
          <w:sz w:val="32"/>
          <w:szCs w:val="32"/>
          <w:highlight w:val="cyan"/>
        </w:rPr>
      </w:pPr>
      <w:r>
        <w:rPr>
          <w:rFonts w:hint="eastAsia" w:ascii="仿宋_GB2312" w:hAnsi="仿宋_GB2312" w:eastAsia="仿宋_GB2312" w:cs="仿宋_GB2312"/>
          <w:i w:val="0"/>
          <w:iCs w:val="0"/>
          <w:caps w:val="0"/>
          <w:color w:val="auto"/>
          <w:spacing w:val="0"/>
          <w:sz w:val="32"/>
          <w:szCs w:val="32"/>
          <w:shd w:val="clear" w:color="auto" w:fill="auto"/>
        </w:rPr>
        <w:t>坚持</w:t>
      </w:r>
      <w:r>
        <w:rPr>
          <w:rFonts w:hint="eastAsia" w:ascii="仿宋_GB2312" w:hAnsi="仿宋_GB2312" w:eastAsia="仿宋_GB2312" w:cs="仿宋_GB2312"/>
          <w:i w:val="0"/>
          <w:iCs w:val="0"/>
          <w:caps w:val="0"/>
          <w:color w:val="auto"/>
          <w:spacing w:val="0"/>
          <w:sz w:val="32"/>
          <w:szCs w:val="32"/>
          <w:shd w:val="clear" w:color="auto" w:fill="auto"/>
          <w:lang w:eastAsia="zh-CN"/>
        </w:rPr>
        <w:t>发展实体经济，</w:t>
      </w:r>
      <w:r>
        <w:rPr>
          <w:rFonts w:hint="eastAsia" w:ascii="仿宋_GB2312" w:hAnsi="仿宋_GB2312" w:eastAsia="仿宋_GB2312" w:cs="仿宋_GB2312"/>
          <w:kern w:val="21"/>
          <w:sz w:val="32"/>
          <w:szCs w:val="32"/>
          <w:highlight w:val="none"/>
        </w:rPr>
        <w:t>厚植民营经济优势，坚持智能化、绿色化、融合化方向，</w:t>
      </w:r>
      <w:r>
        <w:rPr>
          <w:rFonts w:hint="eastAsia" w:ascii="仿宋_GB2312" w:hAnsi="仿宋_GB2312" w:eastAsia="仿宋_GB2312" w:cs="仿宋_GB2312"/>
          <w:i w:val="0"/>
          <w:iCs w:val="0"/>
          <w:caps w:val="0"/>
          <w:color w:val="auto"/>
          <w:spacing w:val="0"/>
          <w:sz w:val="32"/>
          <w:szCs w:val="32"/>
          <w:shd w:val="clear" w:color="auto" w:fill="auto"/>
          <w:lang w:eastAsia="zh-CN"/>
        </w:rPr>
        <w:t>落实“苏州智造”强基提质工程，</w:t>
      </w:r>
      <w:r>
        <w:rPr>
          <w:rFonts w:hint="eastAsia" w:ascii="仿宋_GB2312" w:hAnsi="仿宋_GB2312" w:eastAsia="仿宋_GB2312" w:cs="仿宋_GB2312"/>
          <w:kern w:val="21"/>
          <w:sz w:val="32"/>
          <w:szCs w:val="32"/>
          <w:highlight w:val="none"/>
        </w:rPr>
        <w:t>做大做强制造业产业</w:t>
      </w:r>
      <w:r>
        <w:rPr>
          <w:rFonts w:hint="eastAsia" w:ascii="仿宋_GB2312" w:hAnsi="仿宋_GB2312" w:eastAsia="仿宋_GB2312" w:cs="仿宋_GB2312"/>
          <w:kern w:val="21"/>
          <w:sz w:val="32"/>
          <w:szCs w:val="32"/>
          <w:highlight w:val="none"/>
          <w:lang w:val="en-US" w:eastAsia="zh-CN"/>
        </w:rPr>
        <w:t>集群</w:t>
      </w:r>
      <w:r>
        <w:rPr>
          <w:rFonts w:hint="eastAsia" w:ascii="仿宋_GB2312" w:hAnsi="仿宋_GB2312" w:eastAsia="仿宋_GB2312" w:cs="仿宋_GB2312"/>
          <w:kern w:val="21"/>
          <w:sz w:val="32"/>
          <w:szCs w:val="32"/>
          <w:highlight w:val="none"/>
        </w:rPr>
        <w:t>，培育壮大现代服务业，深入推进“两业融合”，</w:t>
      </w:r>
      <w:r>
        <w:rPr>
          <w:rFonts w:hint="eastAsia" w:ascii="仿宋_GB2312" w:hAnsi="仿宋_GB2312" w:eastAsia="仿宋_GB2312" w:cs="仿宋_GB2312"/>
          <w:color w:val="auto"/>
          <w:sz w:val="32"/>
          <w:szCs w:val="32"/>
          <w:highlight w:val="none"/>
          <w:lang w:eastAsia="zh-CN"/>
        </w:rPr>
        <w:t>一体推进质量强企强链强区</w:t>
      </w:r>
      <w:r>
        <w:rPr>
          <w:rFonts w:hint="eastAsia" w:ascii="仿宋_GB2312" w:hAnsi="仿宋_GB2312" w:eastAsia="仿宋_GB2312" w:cs="仿宋_GB2312"/>
          <w:color w:val="auto"/>
          <w:sz w:val="32"/>
          <w:szCs w:val="32"/>
          <w:lang w:eastAsia="zh-CN"/>
        </w:rPr>
        <w:t>，为苏州打造具有</w:t>
      </w:r>
      <w:r>
        <w:rPr>
          <w:rFonts w:hint="eastAsia" w:ascii="仿宋_GB2312" w:hAnsi="仿宋_GB2312" w:eastAsia="仿宋_GB2312" w:cs="仿宋_GB2312"/>
          <w:color w:val="auto"/>
          <w:sz w:val="32"/>
          <w:szCs w:val="32"/>
          <w:lang w:val="en-US" w:eastAsia="zh-CN"/>
        </w:rPr>
        <w:t>国际竞争力</w:t>
      </w:r>
      <w:r>
        <w:rPr>
          <w:rFonts w:hint="eastAsia" w:ascii="仿宋_GB2312" w:hAnsi="仿宋_GB2312" w:eastAsia="仿宋_GB2312" w:cs="仿宋_GB2312"/>
          <w:color w:val="auto"/>
          <w:sz w:val="32"/>
          <w:szCs w:val="32"/>
          <w:lang w:eastAsia="zh-CN"/>
        </w:rPr>
        <w:t>的“</w:t>
      </w:r>
      <w:r>
        <w:rPr>
          <w:rFonts w:hint="eastAsia" w:ascii="仿宋_GB2312" w:hAnsi="仿宋_GB2312" w:eastAsia="仿宋_GB2312" w:cs="仿宋_GB2312"/>
          <w:color w:val="auto"/>
          <w:sz w:val="32"/>
          <w:szCs w:val="32"/>
          <w:lang w:val="en-US" w:eastAsia="zh-CN"/>
        </w:rPr>
        <w:t>智能制造</w:t>
      </w:r>
      <w:r>
        <w:rPr>
          <w:rFonts w:hint="eastAsia" w:ascii="仿宋_GB2312" w:hAnsi="仿宋_GB2312" w:eastAsia="仿宋_GB2312" w:cs="仿宋_GB2312"/>
          <w:color w:val="auto"/>
          <w:sz w:val="32"/>
          <w:szCs w:val="32"/>
          <w:lang w:eastAsia="zh-CN"/>
        </w:rPr>
        <w:t>之城”提供强力支撑。</w:t>
      </w:r>
    </w:p>
    <w:p w14:paraId="3C27461C">
      <w:pPr>
        <w:pStyle w:val="3"/>
        <w:overflowPunct w:val="0"/>
        <w:topLinePunct/>
        <w:spacing w:before="156" w:after="156" w:line="560" w:lineRule="exact"/>
        <w:rPr>
          <w:rFonts w:ascii="楷体_GB2312" w:hAnsi="楷体_GB2312" w:eastAsia="楷体_GB2312" w:cs="楷体_GB2312"/>
          <w:kern w:val="21"/>
        </w:rPr>
      </w:pPr>
      <w:bookmarkStart w:id="97" w:name="_Toc17631"/>
      <w:bookmarkStart w:id="98" w:name="_Toc1937158766"/>
      <w:bookmarkStart w:id="99" w:name="_Toc132581471"/>
      <w:bookmarkStart w:id="100" w:name="_Toc11933"/>
      <w:bookmarkStart w:id="101" w:name="_Toc31433"/>
      <w:bookmarkStart w:id="102" w:name="_Toc4299"/>
      <w:bookmarkStart w:id="103" w:name="_Toc338745793"/>
      <w:bookmarkStart w:id="104" w:name="_Toc27129"/>
      <w:bookmarkStart w:id="105" w:name="_Toc3526"/>
      <w:bookmarkStart w:id="106" w:name="_Toc31860"/>
      <w:r>
        <w:rPr>
          <w:rFonts w:ascii="楷体_GB2312" w:hAnsi="楷体_GB2312" w:eastAsia="楷体_GB2312" w:cs="楷体_GB2312"/>
          <w:kern w:val="21"/>
        </w:rPr>
        <w:t>第</w:t>
      </w:r>
      <w:r>
        <w:rPr>
          <w:rFonts w:hint="eastAsia" w:ascii="楷体_GB2312" w:hAnsi="楷体_GB2312" w:eastAsia="楷体_GB2312" w:cs="楷体_GB2312"/>
          <w:kern w:val="21"/>
          <w:lang w:eastAsia="zh-CN"/>
        </w:rPr>
        <w:t>一</w:t>
      </w:r>
      <w:r>
        <w:rPr>
          <w:rFonts w:ascii="楷体_GB2312" w:hAnsi="楷体_GB2312" w:eastAsia="楷体_GB2312" w:cs="楷体_GB2312"/>
          <w:kern w:val="21"/>
        </w:rPr>
        <w:t xml:space="preserve">节 </w:t>
      </w:r>
      <w:r>
        <w:rPr>
          <w:rFonts w:hint="eastAsia" w:ascii="楷体_GB2312" w:hAnsi="楷体_GB2312" w:eastAsia="楷体_GB2312" w:cs="楷体_GB2312"/>
          <w:kern w:val="21"/>
          <w:lang w:val="en-US" w:eastAsia="zh-CN"/>
        </w:rPr>
        <w:t xml:space="preserve"> </w:t>
      </w:r>
      <w:r>
        <w:rPr>
          <w:rFonts w:ascii="楷体_GB2312" w:hAnsi="楷体_GB2312" w:eastAsia="楷体_GB2312" w:cs="楷体_GB2312"/>
          <w:kern w:val="21"/>
        </w:rPr>
        <w:t>深入推进新型工业化</w:t>
      </w:r>
      <w:bookmarkEnd w:id="97"/>
      <w:bookmarkEnd w:id="98"/>
      <w:bookmarkEnd w:id="99"/>
      <w:bookmarkEnd w:id="100"/>
      <w:bookmarkEnd w:id="101"/>
    </w:p>
    <w:p w14:paraId="58BCB9AC">
      <w:pPr>
        <w:overflowPunct w:val="0"/>
        <w:topLinePunct/>
        <w:spacing w:line="560" w:lineRule="exact"/>
        <w:ind w:firstLine="640"/>
        <w:rPr>
          <w:rFonts w:hint="eastAsia" w:ascii="仿宋_GB2312" w:hAnsi="仿宋_GB2312" w:eastAsia="仿宋_GB2312" w:cs="仿宋_GB2312"/>
          <w:kern w:val="21"/>
          <w:sz w:val="32"/>
          <w:szCs w:val="32"/>
          <w:lang w:bidi="ar"/>
        </w:rPr>
      </w:pPr>
      <w:r>
        <w:rPr>
          <w:rFonts w:hint="eastAsia" w:ascii="仿宋_GB2312" w:hAnsi="仿宋_GB2312" w:eastAsia="仿宋_GB2312" w:cs="仿宋_GB2312"/>
          <w:kern w:val="21"/>
          <w:sz w:val="32"/>
          <w:szCs w:val="32"/>
          <w:lang w:bidi="ar"/>
        </w:rPr>
        <w:t>把新型工业化作为主攻方向，推动传统产业向高端跃升、新兴产业向规模集聚、未来产业向前沿突破</w:t>
      </w:r>
      <w:r>
        <w:rPr>
          <w:rFonts w:hint="eastAsia" w:ascii="仿宋_GB2312" w:hAnsi="仿宋_GB2312" w:eastAsia="仿宋_GB2312" w:cs="仿宋_GB2312"/>
          <w:kern w:val="21"/>
          <w:sz w:val="32"/>
          <w:szCs w:val="32"/>
          <w:lang w:eastAsia="zh-CN" w:bidi="ar"/>
        </w:rPr>
        <w:t>，</w:t>
      </w:r>
      <w:r>
        <w:rPr>
          <w:rFonts w:hint="eastAsia" w:ascii="仿宋_GB2312" w:hAnsi="仿宋_GB2312" w:eastAsia="仿宋_GB2312" w:cs="仿宋_GB2312"/>
          <w:color w:val="auto"/>
          <w:sz w:val="32"/>
          <w:szCs w:val="32"/>
          <w:lang w:eastAsia="zh-CN"/>
        </w:rPr>
        <w:t>高水平建设制造强区。</w:t>
      </w:r>
    </w:p>
    <w:p w14:paraId="34E58E33">
      <w:pPr>
        <w:numPr>
          <w:ilvl w:val="255"/>
          <w:numId w:val="0"/>
        </w:numPr>
        <w:overflowPunct w:val="0"/>
        <w:topLinePunct/>
        <w:spacing w:line="560" w:lineRule="exact"/>
        <w:ind w:firstLine="640" w:firstLineChars="0"/>
        <w:jc w:val="left"/>
        <w:rPr>
          <w:rFonts w:hint="eastAsia" w:ascii="仿宋_GB2312" w:hAnsi="仿宋_GB2312" w:eastAsia="仿宋_GB2312" w:cs="仿宋_GB2312"/>
          <w:b/>
          <w:bCs/>
          <w:kern w:val="21"/>
          <w:sz w:val="30"/>
          <w:szCs w:val="30"/>
        </w:rPr>
      </w:pPr>
      <w:bookmarkStart w:id="107" w:name="_Toc32226"/>
      <w:bookmarkStart w:id="108" w:name="_Toc938710388"/>
      <w:bookmarkStart w:id="109" w:name="_Toc1664032706"/>
      <w:bookmarkStart w:id="110" w:name="_Toc28002"/>
      <w:bookmarkStart w:id="111" w:name="_Toc8132"/>
      <w:r>
        <w:rPr>
          <w:rStyle w:val="46"/>
          <w:rFonts w:hint="eastAsia" w:ascii="仿宋_GB2312" w:hAnsi="仿宋_GB2312" w:eastAsia="仿宋_GB2312" w:cs="仿宋_GB2312"/>
          <w:b/>
          <w:bCs/>
          <w:kern w:val="21"/>
          <w:sz w:val="32"/>
          <w:szCs w:val="32"/>
          <w:lang w:bidi="ar"/>
        </w:rPr>
        <w:t>巩固提升传统产业。</w:t>
      </w:r>
      <w:bookmarkEnd w:id="107"/>
      <w:bookmarkEnd w:id="108"/>
      <w:bookmarkEnd w:id="109"/>
      <w:bookmarkEnd w:id="110"/>
      <w:bookmarkEnd w:id="111"/>
      <w:r>
        <w:rPr>
          <w:rFonts w:hint="eastAsia" w:ascii="仿宋_GB2312" w:hAnsi="仿宋_GB2312" w:eastAsia="仿宋_GB2312" w:cs="仿宋_GB2312"/>
          <w:kern w:val="21"/>
          <w:sz w:val="32"/>
          <w:szCs w:val="32"/>
        </w:rPr>
        <w:t>以智能化、绿色化、融合化为引领，加快传统产业焕新，做强特色优势产业。推动</w:t>
      </w:r>
      <w:r>
        <w:rPr>
          <w:rFonts w:hint="eastAsia" w:ascii="仿宋_GB2312" w:hAnsi="仿宋_GB2312" w:eastAsia="仿宋_GB2312" w:cs="仿宋_GB2312"/>
          <w:kern w:val="21"/>
          <w:sz w:val="32"/>
          <w:szCs w:val="32"/>
          <w:lang w:val="en-US" w:eastAsia="zh-CN"/>
        </w:rPr>
        <w:t>丝绸</w:t>
      </w:r>
      <w:r>
        <w:rPr>
          <w:rFonts w:hint="eastAsia" w:ascii="仿宋_GB2312" w:hAnsi="仿宋_GB2312" w:eastAsia="仿宋_GB2312" w:cs="仿宋_GB2312"/>
          <w:kern w:val="21"/>
          <w:sz w:val="32"/>
          <w:szCs w:val="32"/>
          <w:lang w:bidi="ar"/>
        </w:rPr>
        <w:t>纺织产业加快向多功能面料和先进纤维材料升级，引导印染入园进区，鼓励企业开展产业更新和技术改造，</w:t>
      </w:r>
      <w:r>
        <w:rPr>
          <w:rFonts w:hint="eastAsia" w:ascii="仿宋_GB2312" w:hAnsi="仿宋_GB2312" w:eastAsia="仿宋_GB2312" w:cs="仿宋_GB2312"/>
          <w:kern w:val="21"/>
          <w:sz w:val="32"/>
          <w:szCs w:val="32"/>
          <w:lang w:val="en-US" w:eastAsia="zh-CN" w:bidi="ar"/>
        </w:rPr>
        <w:t>着力打造国内最有影响力</w:t>
      </w:r>
      <w:r>
        <w:rPr>
          <w:rFonts w:hint="eastAsia" w:ascii="仿宋_GB2312" w:hAnsi="仿宋_GB2312" w:eastAsia="仿宋_GB2312" w:cs="仿宋_GB2312"/>
          <w:kern w:val="21"/>
          <w:sz w:val="32"/>
          <w:szCs w:val="32"/>
          <w:lang w:bidi="ar"/>
        </w:rPr>
        <w:t>的高端纺织产业</w:t>
      </w:r>
      <w:r>
        <w:rPr>
          <w:rFonts w:hint="eastAsia" w:ascii="仿宋_GB2312" w:hAnsi="仿宋_GB2312" w:eastAsia="仿宋_GB2312" w:cs="仿宋_GB2312"/>
          <w:kern w:val="21"/>
          <w:sz w:val="32"/>
          <w:szCs w:val="32"/>
          <w:lang w:val="en-US" w:eastAsia="zh-CN" w:bidi="ar"/>
        </w:rPr>
        <w:t>中心和国际知名的高端</w:t>
      </w:r>
      <w:r>
        <w:rPr>
          <w:rFonts w:hint="eastAsia" w:ascii="仿宋_GB2312" w:hAnsi="仿宋_GB2312" w:eastAsia="仿宋_GB2312" w:cs="仿宋_GB2312"/>
          <w:kern w:val="21"/>
          <w:sz w:val="32"/>
          <w:szCs w:val="32"/>
          <w:lang w:bidi="ar"/>
        </w:rPr>
        <w:t>纺织产业</w:t>
      </w:r>
      <w:r>
        <w:rPr>
          <w:rFonts w:hint="eastAsia" w:ascii="仿宋_GB2312" w:hAnsi="仿宋_GB2312" w:eastAsia="仿宋_GB2312" w:cs="仿宋_GB2312"/>
          <w:kern w:val="21"/>
          <w:sz w:val="32"/>
          <w:szCs w:val="32"/>
          <w:lang w:val="en-US" w:eastAsia="zh-CN" w:bidi="ar"/>
        </w:rPr>
        <w:t>集群</w:t>
      </w:r>
      <w:r>
        <w:rPr>
          <w:rFonts w:hint="eastAsia" w:ascii="仿宋_GB2312" w:hAnsi="仿宋_GB2312" w:eastAsia="仿宋_GB2312" w:cs="仿宋_GB2312"/>
          <w:kern w:val="21"/>
          <w:sz w:val="32"/>
          <w:szCs w:val="32"/>
          <w:lang w:bidi="ar"/>
        </w:rPr>
        <w:t>。推动装备制造产业瞄准关键核心技术和零部件，重点布局集成装备、智能电梯、机器人、医疗器械等细分领域，着力形成长三角地区具有显著特色的产业集群。推动电子信息产业加快向汽车电子、智能终端、可穿戴设备等先进产品形态演进，鼓励企业布局高端商业显示、车载显示、虚拟现实/增强现实等领域，着力打造具有影响力的产业</w:t>
      </w:r>
      <w:r>
        <w:rPr>
          <w:rFonts w:hint="eastAsia" w:ascii="仿宋_GB2312" w:hAnsi="仿宋_GB2312" w:eastAsia="仿宋_GB2312" w:cs="仿宋_GB2312"/>
          <w:kern w:val="21"/>
          <w:sz w:val="32"/>
          <w:szCs w:val="32"/>
          <w:lang w:val="en-US" w:eastAsia="zh-CN" w:bidi="ar"/>
        </w:rPr>
        <w:t>集群</w:t>
      </w:r>
      <w:r>
        <w:rPr>
          <w:rFonts w:hint="eastAsia" w:ascii="仿宋_GB2312" w:hAnsi="仿宋_GB2312" w:eastAsia="仿宋_GB2312" w:cs="仿宋_GB2312"/>
          <w:kern w:val="21"/>
          <w:sz w:val="32"/>
          <w:szCs w:val="32"/>
          <w:lang w:bidi="ar"/>
        </w:rPr>
        <w:t>。推动</w:t>
      </w:r>
      <w:r>
        <w:rPr>
          <w:rFonts w:hint="eastAsia" w:ascii="仿宋_GB2312" w:hAnsi="仿宋_GB2312" w:eastAsia="仿宋_GB2312" w:cs="仿宋_GB2312"/>
          <w:kern w:val="21"/>
          <w:sz w:val="32"/>
          <w:szCs w:val="32"/>
          <w:lang w:val="en-US" w:eastAsia="zh-CN" w:bidi="ar"/>
        </w:rPr>
        <w:t>光电通信</w:t>
      </w:r>
      <w:r>
        <w:rPr>
          <w:rFonts w:hint="eastAsia" w:ascii="仿宋_GB2312" w:hAnsi="仿宋_GB2312" w:eastAsia="仿宋_GB2312" w:cs="仿宋_GB2312"/>
          <w:kern w:val="21"/>
          <w:sz w:val="32"/>
          <w:szCs w:val="32"/>
          <w:lang w:bidi="ar"/>
        </w:rPr>
        <w:t>产业巩固在高端光纤、高压电缆以及光电复合海缆等领域的领先地位，突破核心器件技术，着力提升国际竞争力。</w:t>
      </w:r>
      <w:r>
        <w:rPr>
          <w:rFonts w:hint="eastAsia" w:ascii="仿宋_GB2312" w:hAnsi="仿宋_GB2312" w:eastAsia="仿宋_GB2312" w:cs="仿宋_GB2312"/>
          <w:sz w:val="32"/>
          <w:szCs w:val="32"/>
          <w:highlight w:val="none"/>
          <w:u w:val="none"/>
        </w:rPr>
        <w:t>到2030年，</w:t>
      </w:r>
      <w:r>
        <w:rPr>
          <w:rFonts w:hint="eastAsia" w:ascii="仿宋_GB2312" w:hAnsi="仿宋_GB2312" w:eastAsia="仿宋_GB2312" w:cs="仿宋_GB2312"/>
          <w:sz w:val="32"/>
          <w:szCs w:val="32"/>
          <w:highlight w:val="none"/>
        </w:rPr>
        <w:t>实现重点行业企业数字化绿色化低碳化改造动态全覆盖，累计创建</w:t>
      </w:r>
      <w:r>
        <w:rPr>
          <w:rFonts w:hint="eastAsia" w:ascii="仿宋_GB2312" w:hAnsi="仿宋_GB2312" w:eastAsia="仿宋_GB2312" w:cs="仿宋_GB2312"/>
          <w:sz w:val="32"/>
          <w:szCs w:val="32"/>
          <w:highlight w:val="none"/>
          <w:lang w:val="en-US" w:eastAsia="zh-CN"/>
        </w:rPr>
        <w:t>卓越级及以上智能</w:t>
      </w:r>
      <w:r>
        <w:rPr>
          <w:rFonts w:hint="eastAsia" w:ascii="仿宋_GB2312" w:hAnsi="仿宋_GB2312" w:eastAsia="仿宋_GB2312" w:cs="仿宋_GB2312"/>
          <w:sz w:val="32"/>
          <w:szCs w:val="32"/>
          <w:highlight w:val="none"/>
        </w:rPr>
        <w:t>工厂</w:t>
      </w:r>
      <w:r>
        <w:rPr>
          <w:rFonts w:hint="eastAsia" w:ascii="仿宋_GB2312" w:hAnsi="仿宋_GB2312" w:eastAsia="仿宋_GB2312" w:cs="仿宋_GB2312"/>
          <w:sz w:val="32"/>
          <w:szCs w:val="32"/>
          <w:highlight w:val="none"/>
          <w:lang w:val="en-US" w:eastAsia="zh-CN"/>
        </w:rPr>
        <w:t>5</w:t>
      </w:r>
      <w:r>
        <w:rPr>
          <w:rFonts w:hint="eastAsia" w:ascii="仿宋_GB2312" w:hAnsi="仿宋_GB2312" w:eastAsia="仿宋_GB2312" w:cs="仿宋_GB2312"/>
          <w:sz w:val="32"/>
          <w:szCs w:val="32"/>
          <w:highlight w:val="none"/>
        </w:rPr>
        <w:t>家、国家级绿色工厂</w:t>
      </w:r>
      <w:r>
        <w:rPr>
          <w:rFonts w:hint="eastAsia" w:ascii="仿宋_GB2312" w:hAnsi="仿宋_GB2312" w:eastAsia="仿宋_GB2312" w:cs="仿宋_GB2312"/>
          <w:sz w:val="32"/>
          <w:szCs w:val="32"/>
          <w:highlight w:val="none"/>
          <w:lang w:val="en-US" w:eastAsia="zh-CN"/>
        </w:rPr>
        <w:t>50</w:t>
      </w:r>
      <w:r>
        <w:rPr>
          <w:rFonts w:hint="eastAsia" w:ascii="仿宋_GB2312" w:hAnsi="仿宋_GB2312" w:eastAsia="仿宋_GB2312" w:cs="仿宋_GB2312"/>
          <w:sz w:val="32"/>
          <w:szCs w:val="32"/>
          <w:highlight w:val="none"/>
        </w:rPr>
        <w:t>家。</w:t>
      </w:r>
    </w:p>
    <w:p w14:paraId="0DC495C8">
      <w:pPr>
        <w:overflowPunct w:val="0"/>
        <w:topLinePunct/>
        <w:spacing w:line="560" w:lineRule="exact"/>
        <w:ind w:firstLine="643" w:firstLineChars="200"/>
        <w:rPr>
          <w:rFonts w:hint="eastAsia" w:ascii="仿宋_GB2312" w:hAnsi="仿宋_GB2312" w:eastAsia="仿宋_GB2312" w:cs="仿宋_GB2312"/>
          <w:kern w:val="21"/>
          <w:sz w:val="32"/>
          <w:szCs w:val="32"/>
          <w:highlight w:val="yellow"/>
        </w:rPr>
      </w:pPr>
      <w:bookmarkStart w:id="112" w:name="_Toc18839"/>
      <w:bookmarkStart w:id="113" w:name="_Toc900916703"/>
      <w:bookmarkStart w:id="114" w:name="_Toc1375930875"/>
      <w:bookmarkStart w:id="115" w:name="_Toc29067"/>
      <w:bookmarkStart w:id="116" w:name="_Toc16073"/>
      <w:r>
        <w:rPr>
          <w:rStyle w:val="46"/>
          <w:rFonts w:hint="eastAsia" w:ascii="仿宋_GB2312" w:hAnsi="仿宋_GB2312" w:eastAsia="仿宋_GB2312" w:cs="Times New Roman"/>
          <w:b/>
          <w:bCs/>
          <w:kern w:val="21"/>
          <w:sz w:val="32"/>
          <w:szCs w:val="32"/>
        </w:rPr>
        <w:t>培育壮大新兴产业</w:t>
      </w:r>
      <w:r>
        <w:rPr>
          <w:rStyle w:val="46"/>
          <w:rFonts w:hint="eastAsia" w:ascii="仿宋_GB2312" w:hAnsi="仿宋_GB2312" w:eastAsia="仿宋_GB2312" w:cs="Times New Roman"/>
          <w:kern w:val="21"/>
          <w:sz w:val="32"/>
          <w:szCs w:val="32"/>
        </w:rPr>
        <w:t>。</w:t>
      </w:r>
      <w:bookmarkEnd w:id="112"/>
      <w:bookmarkEnd w:id="113"/>
      <w:bookmarkEnd w:id="114"/>
      <w:bookmarkEnd w:id="115"/>
      <w:bookmarkEnd w:id="116"/>
      <w:r>
        <w:rPr>
          <w:rFonts w:hint="eastAsia" w:ascii="仿宋_GB2312" w:hAnsi="仿宋_GB2312" w:eastAsia="仿宋_GB2312" w:cs="仿宋_GB2312"/>
          <w:kern w:val="21"/>
          <w:sz w:val="32"/>
          <w:szCs w:val="32"/>
        </w:rPr>
        <w:t>一体推进创新设施建设、技术研究开发、产</w:t>
      </w:r>
      <w:r>
        <w:rPr>
          <w:rFonts w:hint="eastAsia" w:ascii="仿宋_GB2312" w:eastAsia="仿宋_GB2312" w:cs="Times New Roman"/>
          <w:kern w:val="21"/>
          <w:sz w:val="32"/>
          <w:szCs w:val="32"/>
        </w:rPr>
        <w:t>品迭代升级，</w:t>
      </w:r>
      <w:r>
        <w:rPr>
          <w:rFonts w:hint="eastAsia" w:ascii="仿宋_GB2312" w:hAnsi="仿宋_GB2312" w:eastAsia="仿宋_GB2312" w:cs="仿宋_GB2312"/>
          <w:kern w:val="21"/>
          <w:sz w:val="32"/>
          <w:szCs w:val="32"/>
        </w:rPr>
        <w:t>增强战略性新兴产业集群关键驱动作用。</w:t>
      </w:r>
      <w:r>
        <w:rPr>
          <w:rFonts w:hint="eastAsia" w:ascii="仿宋_GB2312" w:eastAsia="仿宋_GB2312" w:cs="Times New Roman"/>
          <w:kern w:val="21"/>
          <w:sz w:val="32"/>
          <w:szCs w:val="32"/>
        </w:rPr>
        <w:t>大力推进新能源产业，发挥新能源汽车、光伏、智能电网等领域优势，加快绿色低碳领域技术突破与场景应用。持续培育新兴数字产业，</w:t>
      </w:r>
      <w:r>
        <w:rPr>
          <w:rFonts w:hint="eastAsia" w:ascii="仿宋_GB2312" w:eastAsia="仿宋_GB2312"/>
          <w:kern w:val="21"/>
          <w:sz w:val="32"/>
          <w:szCs w:val="32"/>
        </w:rPr>
        <w:t>协同推进数字产业化和产业数字化</w:t>
      </w:r>
      <w:r>
        <w:rPr>
          <w:rFonts w:hint="eastAsia" w:ascii="仿宋_GB2312" w:eastAsia="仿宋_GB2312" w:cs="Times New Roman"/>
          <w:kern w:val="21"/>
          <w:sz w:val="32"/>
          <w:szCs w:val="32"/>
        </w:rPr>
        <w:t>，深化智改数转网联，</w:t>
      </w:r>
      <w:r>
        <w:rPr>
          <w:rFonts w:hint="eastAsia" w:ascii="仿宋_GB2312" w:hAnsi="仿宋_GB2312" w:eastAsia="仿宋_GB2312" w:cs="仿宋_GB2312"/>
          <w:kern w:val="21"/>
          <w:sz w:val="32"/>
          <w:szCs w:val="32"/>
        </w:rPr>
        <w:t>分类分阶段建设制造业领域高质量数据集，积极培育数字医疗、生物大数据、数字孪生城市、在线新经济等新产业。做大做强新材料产业，聚焦功能性纤维材料、先进金属材料和功能性膜材料等关键领域加快核心技术突破，积极</w:t>
      </w:r>
      <w:r>
        <w:rPr>
          <w:rFonts w:hint="eastAsia" w:ascii="仿宋_GB2312" w:eastAsia="仿宋_GB2312"/>
          <w:kern w:val="21"/>
          <w:sz w:val="32"/>
          <w:szCs w:val="32"/>
        </w:rPr>
        <w:t>布局高温超导、</w:t>
      </w:r>
      <w:r>
        <w:rPr>
          <w:rFonts w:ascii="仿宋_GB2312" w:eastAsia="仿宋_GB2312"/>
          <w:kern w:val="21"/>
          <w:sz w:val="32"/>
          <w:szCs w:val="32"/>
        </w:rPr>
        <w:t>超高强度碳纤维</w:t>
      </w:r>
      <w:r>
        <w:rPr>
          <w:rFonts w:hint="eastAsia" w:ascii="仿宋_GB2312" w:eastAsia="仿宋_GB2312"/>
          <w:kern w:val="21"/>
          <w:sz w:val="32"/>
          <w:szCs w:val="32"/>
        </w:rPr>
        <w:t>等前沿新材料领域</w:t>
      </w:r>
      <w:r>
        <w:rPr>
          <w:rFonts w:hint="eastAsia" w:ascii="仿宋_GB2312" w:hAnsi="仿宋_GB2312" w:eastAsia="仿宋_GB2312" w:cs="仿宋_GB2312"/>
          <w:kern w:val="21"/>
          <w:sz w:val="32"/>
          <w:szCs w:val="32"/>
        </w:rPr>
        <w:t>。加力打造</w:t>
      </w:r>
      <w:r>
        <w:rPr>
          <w:rFonts w:hint="eastAsia" w:ascii="仿宋_GB2312" w:hAnsi="Calibri" w:eastAsia="仿宋_GB2312" w:cs="Times New Roman"/>
          <w:kern w:val="21"/>
          <w:sz w:val="32"/>
          <w:szCs w:val="32"/>
          <w:lang w:bidi="ar"/>
        </w:rPr>
        <w:t>第三代半导体产业，</w:t>
      </w:r>
      <w:r>
        <w:rPr>
          <w:rFonts w:hint="eastAsia" w:ascii="仿宋_GB2312" w:eastAsia="仿宋_GB2312" w:cs="Times New Roman"/>
          <w:kern w:val="21"/>
          <w:sz w:val="32"/>
          <w:szCs w:val="32"/>
          <w:lang w:bidi="ar"/>
        </w:rPr>
        <w:t>聚焦材料、设备、光模块等优势领域，支持企业向产业链上下游延伸，建设第三代半导体产业集聚区，</w:t>
      </w:r>
      <w:r>
        <w:rPr>
          <w:rFonts w:hint="eastAsia" w:ascii="仿宋_GB2312" w:hAnsi="仿宋_GB2312" w:eastAsia="仿宋_GB2312" w:cs="仿宋_GB2312"/>
          <w:kern w:val="21"/>
          <w:sz w:val="32"/>
          <w:szCs w:val="32"/>
          <w:lang w:bidi="ar"/>
        </w:rPr>
        <w:t>前瞻布局第四代半导体产业。</w:t>
      </w:r>
      <w:r>
        <w:rPr>
          <w:rFonts w:hint="eastAsia" w:ascii="仿宋_GB2312" w:eastAsia="仿宋_GB2312" w:cs="Times New Roman"/>
          <w:kern w:val="21"/>
          <w:sz w:val="32"/>
          <w:szCs w:val="32"/>
          <w:lang w:bidi="ar"/>
        </w:rPr>
        <w:t>稳步发展低空经济产业，</w:t>
      </w:r>
      <w:r>
        <w:rPr>
          <w:rFonts w:hint="eastAsia" w:ascii="仿宋_GB2312" w:hAnsi="仿宋_GB2312" w:eastAsia="仿宋_GB2312" w:cs="仿宋_GB2312"/>
          <w:kern w:val="21"/>
          <w:sz w:val="32"/>
          <w:szCs w:val="32"/>
        </w:rPr>
        <w:t>加快布局低空基建网络，配合推进苏州UAM（城</w:t>
      </w:r>
      <w:r>
        <w:rPr>
          <w:rFonts w:hint="eastAsia" w:ascii="仿宋_GB2312" w:hAnsi="仿宋_GB2312" w:eastAsia="仿宋_GB2312" w:cs="仿宋_GB2312"/>
          <w:kern w:val="21"/>
          <w:sz w:val="32"/>
          <w:szCs w:val="32"/>
          <w:highlight w:val="none"/>
        </w:rPr>
        <w:t>市空中交通）试点城市建设，争取更多低空空域资源，</w:t>
      </w:r>
      <w:r>
        <w:rPr>
          <w:rFonts w:hint="eastAsia" w:ascii="仿宋_GB2312" w:hAnsi="仿宋_GB2312" w:eastAsia="仿宋_GB2312" w:cs="仿宋_GB2312"/>
          <w:kern w:val="21"/>
          <w:sz w:val="32"/>
          <w:szCs w:val="32"/>
          <w:highlight w:val="none"/>
          <w:lang w:eastAsia="zh-CN"/>
        </w:rPr>
        <w:t>开展江苏省低空经济先行集聚发展试点，</w:t>
      </w:r>
      <w:r>
        <w:rPr>
          <w:rFonts w:hint="eastAsia" w:ascii="仿宋_GB2312" w:hAnsi="仿宋_GB2312" w:eastAsia="仿宋_GB2312" w:cs="仿宋_GB2312"/>
          <w:kern w:val="21"/>
          <w:sz w:val="32"/>
          <w:szCs w:val="32"/>
          <w:highlight w:val="none"/>
        </w:rPr>
        <w:t>打造苏州低空经济先导区。培育海洋经济，强化陆海联动发展，赋能区域转型升级与可持续发展。</w:t>
      </w:r>
    </w:p>
    <w:p w14:paraId="086665B2">
      <w:pPr>
        <w:overflowPunct w:val="0"/>
        <w:topLinePunct/>
        <w:spacing w:line="560" w:lineRule="exact"/>
        <w:ind w:firstLine="643" w:firstLineChars="200"/>
        <w:rPr>
          <w:rFonts w:hint="eastAsia" w:ascii="仿宋_GB2312" w:hAnsi="仿宋_GB2312" w:eastAsia="仿宋_GB2312" w:cs="仿宋_GB2312"/>
          <w:kern w:val="21"/>
          <w:sz w:val="32"/>
          <w:szCs w:val="32"/>
          <w:highlight w:val="yellow"/>
        </w:rPr>
      </w:pPr>
      <w:bookmarkStart w:id="117" w:name="_Toc17200"/>
      <w:bookmarkStart w:id="118" w:name="_Toc1444666597"/>
      <w:bookmarkStart w:id="119" w:name="_Toc11876"/>
      <w:bookmarkStart w:id="120" w:name="_Toc1475647025"/>
      <w:bookmarkStart w:id="121" w:name="_Toc27903"/>
      <w:r>
        <w:rPr>
          <w:rStyle w:val="46"/>
          <w:rFonts w:hint="eastAsia" w:ascii="仿宋_GB2312" w:hAnsi="仿宋_GB2312" w:eastAsia="仿宋_GB2312" w:cs="Times New Roman"/>
          <w:b/>
          <w:bCs/>
          <w:kern w:val="21"/>
          <w:sz w:val="32"/>
          <w:szCs w:val="32"/>
        </w:rPr>
        <w:t>前瞻布局未来产业。</w:t>
      </w:r>
      <w:r>
        <w:rPr>
          <w:rStyle w:val="46"/>
          <w:rFonts w:hint="eastAsia" w:ascii="仿宋_GB2312" w:eastAsia="仿宋_GB2312" w:cs="Times New Roman"/>
          <w:b w:val="0"/>
          <w:bCs/>
          <w:kern w:val="21"/>
          <w:sz w:val="32"/>
          <w:szCs w:val="32"/>
          <w:lang w:bidi="ar"/>
        </w:rPr>
        <w:t>深</w:t>
      </w:r>
      <w:bookmarkEnd w:id="117"/>
      <w:bookmarkEnd w:id="118"/>
      <w:bookmarkEnd w:id="119"/>
      <w:bookmarkEnd w:id="120"/>
      <w:bookmarkEnd w:id="121"/>
      <w:r>
        <w:rPr>
          <w:rFonts w:hint="eastAsia" w:ascii="仿宋_GB2312" w:eastAsia="仿宋_GB2312" w:cs="Times New Roman"/>
          <w:kern w:val="21"/>
          <w:sz w:val="32"/>
          <w:szCs w:val="32"/>
          <w:lang w:bidi="ar"/>
        </w:rPr>
        <w:t>入实施“人工智能+”创新发展行动，推动</w:t>
      </w:r>
      <w:r>
        <w:rPr>
          <w:rFonts w:hint="eastAsia" w:ascii="仿宋_GB2312" w:eastAsia="仿宋_GB2312"/>
          <w:kern w:val="21"/>
          <w:sz w:val="32"/>
          <w:szCs w:val="32"/>
          <w:lang w:bidi="ar"/>
        </w:rPr>
        <w:t>产业链、创新链、应用链、生态链同构，持续优化</w:t>
      </w:r>
      <w:r>
        <w:rPr>
          <w:rFonts w:hint="eastAsia" w:ascii="仿宋_GB2312" w:hAnsi="仿宋_GB2312" w:eastAsia="仿宋_GB2312" w:cs="仿宋_GB2312"/>
          <w:kern w:val="21"/>
          <w:sz w:val="32"/>
          <w:szCs w:val="32"/>
        </w:rPr>
        <w:t>算力供给体系，加快单人公司（OPC）创新设计平台建设，分层分类培育支撑行业高质量发展的标杆大模型，推动</w:t>
      </w:r>
      <w:r>
        <w:rPr>
          <w:rFonts w:hint="eastAsia" w:ascii="仿宋_GB2312" w:hAnsi="仿宋_GB2312" w:eastAsia="仿宋_GB2312" w:cs="仿宋_GB2312"/>
          <w:kern w:val="21"/>
          <w:sz w:val="32"/>
          <w:szCs w:val="32"/>
          <w:lang w:bidi="ar"/>
        </w:rPr>
        <w:t>具身智能机器人产业发展，</w:t>
      </w:r>
      <w:r>
        <w:rPr>
          <w:rFonts w:hint="eastAsia" w:ascii="仿宋_GB2312" w:hAnsi="仿宋_GB2312" w:eastAsia="仿宋_GB2312" w:cs="仿宋_GB2312"/>
          <w:kern w:val="21"/>
          <w:sz w:val="32"/>
          <w:szCs w:val="32"/>
        </w:rPr>
        <w:t>推出更多“人工智能+”和“数据要素×”融合发展的示范应用场景，建设太湖新城、汾湖高新区两大人工智能特色集聚区，全方位赋能千行百业。围绕未来制造、未来信息、未来材料、未来能源等前沿方向主动研究谋划，</w:t>
      </w:r>
      <w:r>
        <w:rPr>
          <w:rFonts w:hint="eastAsia" w:ascii="仿宋_GB2312" w:hAnsi="仿宋_GB2312" w:eastAsia="仿宋_GB2312" w:cs="仿宋_GB2312"/>
          <w:kern w:val="21"/>
          <w:sz w:val="32"/>
          <w:szCs w:val="32"/>
          <w:lang w:bidi="ar"/>
        </w:rPr>
        <w:t>探索多元技术路线、典型应用场景、可行商业模式，</w:t>
      </w:r>
      <w:r>
        <w:rPr>
          <w:rFonts w:hint="eastAsia" w:ascii="仿宋_GB2312" w:hAnsi="仿宋_GB2312" w:eastAsia="仿宋_GB2312" w:cs="仿宋_GB2312"/>
          <w:kern w:val="21"/>
          <w:sz w:val="32"/>
          <w:szCs w:val="32"/>
        </w:rPr>
        <w:t>推动第六代移动通信、氢能、可控核聚变、合成生物等成为新的经济增长点。</w:t>
      </w:r>
      <w:r>
        <w:rPr>
          <w:rFonts w:hint="eastAsia" w:ascii="仿宋_GB2312" w:hAnsi="仿宋_GB2312" w:eastAsia="仿宋_GB2312" w:cs="仿宋_GB2312"/>
          <w:color w:val="auto"/>
          <w:sz w:val="32"/>
          <w:szCs w:val="32"/>
          <w:highlight w:val="none"/>
          <w:lang w:val="en-US" w:eastAsia="zh-CN"/>
        </w:rPr>
        <w:t>积极融入全国一体化数据市场，统筹数据产业规划布局，</w:t>
      </w:r>
      <w:r>
        <w:rPr>
          <w:rFonts w:hint="eastAsia" w:ascii="仿宋_GB2312" w:hAnsi="仿宋_GB2312" w:eastAsia="仿宋_GB2312" w:cs="仿宋_GB2312"/>
          <w:kern w:val="21"/>
          <w:sz w:val="32"/>
          <w:szCs w:val="32"/>
        </w:rPr>
        <w:t>探索公共数据运营试点，推动数据要素</w:t>
      </w:r>
      <w:r>
        <w:rPr>
          <w:rFonts w:hint="eastAsia" w:ascii="仿宋_GB2312" w:hAnsi="仿宋_GB2312" w:eastAsia="仿宋_GB2312" w:cs="仿宋_GB2312"/>
          <w:kern w:val="21"/>
          <w:sz w:val="32"/>
          <w:szCs w:val="32"/>
          <w:lang w:eastAsia="zh-CN"/>
        </w:rPr>
        <w:t>产业园</w:t>
      </w:r>
      <w:r>
        <w:rPr>
          <w:rFonts w:hint="eastAsia" w:ascii="仿宋_GB2312" w:hAnsi="仿宋_GB2312" w:eastAsia="仿宋_GB2312" w:cs="仿宋_GB2312"/>
          <w:kern w:val="21"/>
          <w:sz w:val="32"/>
          <w:szCs w:val="32"/>
        </w:rPr>
        <w:t>建设，</w:t>
      </w:r>
      <w:r>
        <w:rPr>
          <w:rFonts w:hint="eastAsia" w:ascii="仿宋_GB2312" w:hAnsi="仿宋_GB2312" w:eastAsia="仿宋_GB2312" w:cs="仿宋_GB2312"/>
          <w:kern w:val="21"/>
          <w:sz w:val="32"/>
          <w:szCs w:val="32"/>
          <w:lang w:val="en-US" w:eastAsia="zh-CN"/>
        </w:rPr>
        <w:t>打造</w:t>
      </w:r>
      <w:r>
        <w:rPr>
          <w:rFonts w:hint="eastAsia" w:ascii="仿宋_GB2312" w:hAnsi="仿宋_GB2312" w:eastAsia="仿宋_GB2312" w:cs="仿宋_GB2312"/>
          <w:kern w:val="21"/>
          <w:sz w:val="32"/>
          <w:szCs w:val="32"/>
        </w:rPr>
        <w:t>数据产业公共服务平台</w:t>
      </w:r>
      <w:r>
        <w:rPr>
          <w:rFonts w:hint="eastAsia" w:ascii="仿宋_GB2312" w:hAnsi="仿宋_GB2312" w:eastAsia="仿宋_GB2312" w:cs="仿宋_GB2312"/>
          <w:kern w:val="21"/>
          <w:sz w:val="32"/>
          <w:szCs w:val="32"/>
          <w:lang w:eastAsia="zh-CN"/>
        </w:rPr>
        <w:t>。</w:t>
      </w:r>
    </w:p>
    <w:bookmarkEnd w:id="102"/>
    <w:bookmarkEnd w:id="103"/>
    <w:bookmarkEnd w:id="104"/>
    <w:bookmarkEnd w:id="105"/>
    <w:bookmarkEnd w:id="106"/>
    <w:p w14:paraId="265940BD">
      <w:pPr>
        <w:pStyle w:val="3"/>
        <w:overflowPunct w:val="0"/>
        <w:topLinePunct/>
        <w:spacing w:before="156" w:after="156" w:line="560" w:lineRule="exact"/>
        <w:rPr>
          <w:kern w:val="21"/>
        </w:rPr>
      </w:pPr>
      <w:bookmarkStart w:id="122" w:name="_Toc25948"/>
      <w:bookmarkStart w:id="123" w:name="_Toc1458936920"/>
      <w:bookmarkStart w:id="124" w:name="_Toc15721"/>
      <w:bookmarkStart w:id="125" w:name="_Toc24996"/>
      <w:bookmarkStart w:id="126" w:name="_Toc24554"/>
      <w:bookmarkStart w:id="127" w:name="_Toc17484"/>
      <w:bookmarkStart w:id="128" w:name="_Toc22654"/>
      <w:bookmarkStart w:id="129" w:name="_Toc1888189776"/>
      <w:bookmarkStart w:id="130" w:name="_Toc3827"/>
      <w:bookmarkStart w:id="131" w:name="_Toc763449627"/>
      <w:r>
        <w:rPr>
          <w:rFonts w:ascii="楷体_GB2312" w:hAnsi="楷体_GB2312" w:eastAsia="楷体_GB2312" w:cs="楷体_GB2312"/>
          <w:kern w:val="21"/>
        </w:rPr>
        <w:t>第</w:t>
      </w:r>
      <w:r>
        <w:rPr>
          <w:rFonts w:hint="eastAsia" w:ascii="楷体_GB2312" w:hAnsi="楷体_GB2312" w:eastAsia="楷体_GB2312" w:cs="楷体_GB2312"/>
          <w:kern w:val="21"/>
          <w:lang w:eastAsia="zh-CN"/>
        </w:rPr>
        <w:t>二</w:t>
      </w:r>
      <w:r>
        <w:rPr>
          <w:rFonts w:ascii="楷体_GB2312" w:hAnsi="楷体_GB2312" w:eastAsia="楷体_GB2312" w:cs="楷体_GB2312"/>
          <w:kern w:val="21"/>
        </w:rPr>
        <w:t xml:space="preserve">节 </w:t>
      </w:r>
      <w:r>
        <w:rPr>
          <w:rFonts w:hint="eastAsia" w:ascii="楷体_GB2312" w:hAnsi="楷体_GB2312" w:eastAsia="楷体_GB2312" w:cs="楷体_GB2312"/>
          <w:kern w:val="21"/>
          <w:lang w:val="en-US" w:eastAsia="zh-CN"/>
        </w:rPr>
        <w:t xml:space="preserve"> </w:t>
      </w:r>
      <w:r>
        <w:rPr>
          <w:rFonts w:ascii="楷体_GB2312" w:hAnsi="楷体_GB2312" w:eastAsia="楷体_GB2312" w:cs="楷体_GB2312"/>
          <w:kern w:val="21"/>
        </w:rPr>
        <w:t>做强做优现代服务业</w:t>
      </w:r>
      <w:bookmarkEnd w:id="122"/>
      <w:bookmarkEnd w:id="123"/>
      <w:bookmarkEnd w:id="124"/>
      <w:bookmarkEnd w:id="125"/>
      <w:bookmarkEnd w:id="126"/>
      <w:bookmarkEnd w:id="127"/>
      <w:bookmarkEnd w:id="128"/>
      <w:bookmarkEnd w:id="129"/>
      <w:bookmarkEnd w:id="130"/>
      <w:bookmarkEnd w:id="131"/>
    </w:p>
    <w:p w14:paraId="1A579FB3">
      <w:pPr>
        <w:overflowPunct w:val="0"/>
        <w:topLinePunct/>
        <w:spacing w:line="560" w:lineRule="exact"/>
        <w:ind w:firstLine="640" w:firstLineChars="200"/>
        <w:rPr>
          <w:rFonts w:hint="eastAsia" w:ascii="仿宋_GB2312" w:hAnsi="仿宋_GB2312" w:eastAsia="仿宋_GB2312" w:cs="仿宋_GB2312"/>
          <w:kern w:val="21"/>
          <w:sz w:val="32"/>
          <w:szCs w:val="32"/>
        </w:rPr>
      </w:pPr>
      <w:r>
        <w:rPr>
          <w:rFonts w:hint="eastAsia" w:ascii="仿宋_GB2312" w:hAnsi="仿宋_GB2312" w:eastAsia="仿宋_GB2312" w:cs="仿宋_GB2312"/>
          <w:kern w:val="21"/>
          <w:sz w:val="32"/>
          <w:szCs w:val="32"/>
        </w:rPr>
        <w:t>聚焦产业转型升级和居民消费升级需求，扩大服务业有效供给，加快实现服务业能级倍增，精心打造优质高效、结构优化、竞争力强的现代服务业产业体系。</w:t>
      </w:r>
    </w:p>
    <w:p w14:paraId="662D5A0F">
      <w:pPr>
        <w:overflowPunct w:val="0"/>
        <w:topLinePunct/>
        <w:spacing w:line="560" w:lineRule="exact"/>
        <w:ind w:firstLine="643" w:firstLineChars="200"/>
        <w:rPr>
          <w:rFonts w:hint="eastAsia" w:ascii="仿宋_GB2312" w:hAnsi="仿宋_GB2312" w:eastAsia="仿宋_GB2312" w:cs="仿宋_GB2312"/>
          <w:kern w:val="21"/>
          <w:sz w:val="32"/>
          <w:szCs w:val="32"/>
        </w:rPr>
      </w:pPr>
      <w:bookmarkStart w:id="132" w:name="_Toc9373"/>
      <w:bookmarkStart w:id="133" w:name="_Toc8554"/>
      <w:bookmarkStart w:id="134" w:name="_Toc11215"/>
      <w:bookmarkStart w:id="135" w:name="_Toc1327030272"/>
      <w:bookmarkStart w:id="136" w:name="_Toc1041408484"/>
      <w:r>
        <w:rPr>
          <w:rStyle w:val="46"/>
          <w:rFonts w:hint="eastAsia" w:ascii="仿宋_GB2312" w:hAnsi="仿宋_GB2312" w:eastAsia="仿宋_GB2312" w:cs="Times New Roman"/>
          <w:b/>
          <w:bCs/>
          <w:kern w:val="21"/>
          <w:sz w:val="32"/>
          <w:szCs w:val="32"/>
        </w:rPr>
        <w:t>推动生产性服务业高端化发展</w:t>
      </w:r>
      <w:bookmarkEnd w:id="132"/>
      <w:bookmarkEnd w:id="133"/>
      <w:r>
        <w:rPr>
          <w:rFonts w:hint="eastAsia" w:ascii="仿宋_GB2312" w:hAnsi="仿宋_GB2312" w:eastAsia="仿宋_GB2312" w:cs="仿宋_GB2312"/>
          <w:b/>
          <w:bCs/>
          <w:kern w:val="21"/>
          <w:sz w:val="32"/>
          <w:szCs w:val="32"/>
        </w:rPr>
        <w:t>。</w:t>
      </w:r>
      <w:r>
        <w:rPr>
          <w:rFonts w:hint="eastAsia" w:ascii="仿宋_GB2312" w:hAnsi="仿宋_GB2312" w:eastAsia="仿宋_GB2312" w:cs="仿宋_GB2312"/>
          <w:kern w:val="21"/>
          <w:sz w:val="32"/>
          <w:szCs w:val="32"/>
        </w:rPr>
        <w:t>推</w:t>
      </w:r>
      <w:bookmarkEnd w:id="134"/>
      <w:bookmarkEnd w:id="135"/>
      <w:bookmarkEnd w:id="136"/>
      <w:r>
        <w:rPr>
          <w:rFonts w:hint="eastAsia" w:ascii="仿宋_GB2312" w:hAnsi="仿宋_GB2312" w:eastAsia="仿宋_GB2312" w:cs="仿宋_GB2312"/>
          <w:kern w:val="21"/>
          <w:sz w:val="32"/>
          <w:szCs w:val="32"/>
        </w:rPr>
        <w:t>动生产性服务业加速向专业化和价值链高端延伸，推进制造业主辅分离，着力发展科技研发、检验检测、人力资源、数据服务、工业设计、金融服务等生产性服务业。围绕制造业企业柔性生产、供应链协同、产能整合和节能降碳等需求，引进培育一批综合解决方案服务商。深化江苏省“两业”深度融合试点，实施生产性服务业支撑新型工业化行动，实现高水平“制造+服务”“制造+研发”。</w:t>
      </w:r>
    </w:p>
    <w:p w14:paraId="3A37C590">
      <w:pPr>
        <w:overflowPunct w:val="0"/>
        <w:topLinePunct/>
        <w:spacing w:line="560" w:lineRule="exact"/>
        <w:ind w:firstLine="643" w:firstLineChars="200"/>
        <w:rPr>
          <w:rFonts w:hint="eastAsia" w:ascii="仿宋_GB2312" w:hAnsi="仿宋_GB2312" w:eastAsia="仿宋_GB2312" w:cs="仿宋_GB2312"/>
          <w:kern w:val="21"/>
          <w:sz w:val="32"/>
          <w:szCs w:val="32"/>
        </w:rPr>
      </w:pPr>
      <w:bookmarkStart w:id="137" w:name="_Toc24831"/>
      <w:bookmarkStart w:id="138" w:name="_Toc3224"/>
      <w:bookmarkStart w:id="139" w:name="_Toc18400"/>
      <w:bookmarkStart w:id="140" w:name="_Toc2130272932"/>
      <w:bookmarkStart w:id="141" w:name="_Toc1939220217"/>
      <w:r>
        <w:rPr>
          <w:rStyle w:val="46"/>
          <w:rFonts w:hint="eastAsia" w:ascii="仿宋_GB2312" w:hAnsi="仿宋_GB2312" w:eastAsia="仿宋_GB2312" w:cs="Times New Roman"/>
          <w:b/>
          <w:bCs/>
          <w:kern w:val="21"/>
          <w:sz w:val="32"/>
          <w:szCs w:val="32"/>
        </w:rPr>
        <w:t>加快生活性服务业品质化发展</w:t>
      </w:r>
      <w:bookmarkEnd w:id="137"/>
      <w:bookmarkEnd w:id="138"/>
      <w:r>
        <w:rPr>
          <w:rFonts w:hint="eastAsia" w:ascii="仿宋_GB2312" w:hAnsi="仿宋_GB2312" w:eastAsia="仿宋_GB2312" w:cs="仿宋_GB2312"/>
          <w:b/>
          <w:bCs/>
          <w:kern w:val="21"/>
          <w:sz w:val="32"/>
          <w:szCs w:val="32"/>
        </w:rPr>
        <w:t>。</w:t>
      </w:r>
      <w:r>
        <w:rPr>
          <w:rFonts w:hint="eastAsia" w:ascii="仿宋_GB2312" w:hAnsi="仿宋_GB2312" w:eastAsia="仿宋_GB2312" w:cs="仿宋_GB2312"/>
          <w:kern w:val="21"/>
          <w:sz w:val="32"/>
          <w:szCs w:val="32"/>
        </w:rPr>
        <w:t>推</w:t>
      </w:r>
      <w:bookmarkEnd w:id="139"/>
      <w:bookmarkEnd w:id="140"/>
      <w:bookmarkEnd w:id="141"/>
      <w:r>
        <w:rPr>
          <w:rFonts w:hint="eastAsia" w:ascii="仿宋_GB2312" w:hAnsi="仿宋_GB2312" w:eastAsia="仿宋_GB2312" w:cs="仿宋_GB2312"/>
          <w:kern w:val="21"/>
          <w:sz w:val="32"/>
          <w:szCs w:val="32"/>
        </w:rPr>
        <w:t>动生活性服务业向高品质、多样化、便利化升级，加快发展现代商贸、文化旅游、养老托育、家政服务等生活性服务业，深入挖掘赛事经济、假日经济、直播经济等潜力活力，培育壮大首店经济、首发经济、展会经济，培育数字消费新业态</w:t>
      </w:r>
      <w:r>
        <w:rPr>
          <w:rFonts w:hint="eastAsia" w:ascii="仿宋_GB2312" w:hAnsi="仿宋_GB2312" w:eastAsia="仿宋_GB2312" w:cs="仿宋_GB2312"/>
          <w:kern w:val="21"/>
          <w:sz w:val="32"/>
          <w:szCs w:val="32"/>
          <w:lang w:eastAsia="zh-CN"/>
        </w:rPr>
        <w:t>，</w:t>
      </w:r>
      <w:r>
        <w:rPr>
          <w:rFonts w:hint="eastAsia" w:ascii="仿宋_GB2312" w:hAnsi="仿宋_GB2312" w:eastAsia="仿宋_GB2312" w:cs="仿宋_GB2312"/>
          <w:kern w:val="21"/>
          <w:sz w:val="32"/>
          <w:szCs w:val="32"/>
        </w:rPr>
        <w:t>拓展“旅游+”“美食+”“演艺+”等融合消费场景。</w:t>
      </w:r>
    </w:p>
    <w:p w14:paraId="66C7E1A4">
      <w:pPr>
        <w:overflowPunct w:val="0"/>
        <w:topLinePunct/>
        <w:spacing w:line="560" w:lineRule="exact"/>
        <w:ind w:firstLine="643" w:firstLineChars="200"/>
        <w:rPr>
          <w:rFonts w:hint="eastAsia" w:ascii="仿宋_GB2312" w:hAnsi="仿宋_GB2312" w:eastAsia="仿宋_GB2312" w:cs="仿宋_GB2312"/>
          <w:kern w:val="21"/>
          <w:sz w:val="32"/>
          <w:szCs w:val="32"/>
        </w:rPr>
      </w:pPr>
      <w:bookmarkStart w:id="142" w:name="_Toc24147"/>
      <w:bookmarkStart w:id="143" w:name="_Toc1545516488"/>
      <w:bookmarkStart w:id="144" w:name="_Toc17191"/>
      <w:bookmarkStart w:id="145" w:name="_Toc1448923072"/>
      <w:bookmarkStart w:id="146" w:name="_Toc27476"/>
      <w:r>
        <w:rPr>
          <w:rStyle w:val="46"/>
          <w:rFonts w:hint="eastAsia" w:ascii="仿宋_GB2312" w:hAnsi="仿宋_GB2312" w:eastAsia="仿宋_GB2312" w:cs="Times New Roman"/>
          <w:b/>
          <w:bCs/>
          <w:kern w:val="21"/>
          <w:sz w:val="32"/>
          <w:szCs w:val="32"/>
        </w:rPr>
        <w:t>提升总部楼宇平台经济发展能级。</w:t>
      </w:r>
      <w:bookmarkEnd w:id="142"/>
      <w:bookmarkEnd w:id="143"/>
      <w:bookmarkEnd w:id="144"/>
      <w:bookmarkEnd w:id="145"/>
      <w:bookmarkEnd w:id="146"/>
      <w:r>
        <w:rPr>
          <w:rFonts w:hint="eastAsia" w:ascii="仿宋_GB2312" w:hAnsi="仿宋_GB2312" w:eastAsia="仿宋_GB2312" w:cs="仿宋_GB2312"/>
          <w:kern w:val="21"/>
          <w:sz w:val="32"/>
          <w:szCs w:val="32"/>
          <w:lang w:eastAsia="zh-CN"/>
        </w:rPr>
        <w:t>高标准</w:t>
      </w:r>
      <w:r>
        <w:rPr>
          <w:rFonts w:hint="eastAsia" w:ascii="仿宋_GB2312" w:hAnsi="仿宋_GB2312" w:eastAsia="仿宋_GB2312" w:cs="仿宋_GB2312"/>
          <w:kern w:val="21"/>
          <w:sz w:val="32"/>
          <w:szCs w:val="32"/>
        </w:rPr>
        <w:t>推进苏州湾中央商务区</w:t>
      </w:r>
      <w:r>
        <w:rPr>
          <w:rFonts w:hint="eastAsia" w:ascii="仿宋_GB2312" w:hAnsi="仿宋_GB2312" w:eastAsia="仿宋_GB2312" w:cs="仿宋_GB2312"/>
          <w:snapToGrid w:val="0"/>
          <w:kern w:val="21"/>
          <w:sz w:val="32"/>
          <w:szCs w:val="32"/>
        </w:rPr>
        <w:t>（CBD）</w:t>
      </w:r>
      <w:r>
        <w:rPr>
          <w:rFonts w:hint="eastAsia" w:ascii="仿宋_GB2312" w:hAnsi="仿宋_GB2312" w:eastAsia="仿宋_GB2312" w:cs="仿宋_GB2312"/>
          <w:kern w:val="21"/>
          <w:sz w:val="32"/>
          <w:szCs w:val="32"/>
        </w:rPr>
        <w:t>建设，大力培育一批高品质、高标准、高产出的总部型、科创型、服务型特色楼宇。推动世界500强、跨国公司、大型央企、上市公司、本地龙头企业等设立综合型总部、功能性机构，打造具有长三角特色品牌效应的总部经济集聚区。创新平台经济发展业态，抓好大型平台外引内育，推动企业实现数字化转型和产业迭代升级，树立平台经济发展标杆。</w:t>
      </w:r>
    </w:p>
    <w:p w14:paraId="57B14A73">
      <w:pPr>
        <w:overflowPunct w:val="0"/>
        <w:topLinePunct/>
        <w:spacing w:line="560" w:lineRule="exact"/>
        <w:rPr>
          <w:rFonts w:ascii="Times New Roman" w:hAnsi="Times New Roman" w:eastAsia="黑体" w:cs="Times New Roman"/>
          <w:b/>
          <w:bCs/>
          <w:kern w:val="21"/>
          <w:sz w:val="32"/>
          <w:szCs w:val="32"/>
        </w:rPr>
      </w:pPr>
      <w:r>
        <w:rPr>
          <w:rFonts w:ascii="Times New Roman" w:hAnsi="Times New Roman" w:eastAsia="黑体" w:cs="Times New Roman"/>
          <w:b/>
          <w:bCs/>
          <w:kern w:val="21"/>
          <w:sz w:val="32"/>
          <w:szCs w:val="32"/>
        </w:rPr>
        <w:br w:type="page"/>
      </w:r>
    </w:p>
    <w:p w14:paraId="3CA39F47">
      <w:pPr>
        <w:pStyle w:val="2"/>
        <w:keepNext w:val="0"/>
        <w:keepLines w:val="0"/>
        <w:pageBreakBefore w:val="0"/>
        <w:kinsoku/>
        <w:wordWrap/>
        <w:overflowPunct w:val="0"/>
        <w:topLinePunct/>
        <w:autoSpaceDE/>
        <w:autoSpaceDN/>
        <w:bidi w:val="0"/>
        <w:adjustRightInd/>
        <w:spacing w:line="560" w:lineRule="exact"/>
        <w:textAlignment w:val="auto"/>
        <w:rPr>
          <w:spacing w:val="0"/>
          <w:kern w:val="21"/>
          <w:sz w:val="32"/>
        </w:rPr>
      </w:pPr>
      <w:bookmarkStart w:id="147" w:name="_Toc11505"/>
      <w:bookmarkStart w:id="148" w:name="_Toc2280"/>
      <w:bookmarkStart w:id="149" w:name="_Toc25800"/>
      <w:bookmarkStart w:id="150" w:name="_Toc962530964"/>
      <w:bookmarkStart w:id="151" w:name="_Toc2049184224"/>
      <w:r>
        <w:rPr>
          <w:rFonts w:hint="eastAsia"/>
          <w:spacing w:val="0"/>
          <w:kern w:val="21"/>
          <w:sz w:val="32"/>
        </w:rPr>
        <w:t>第</w:t>
      </w:r>
      <w:r>
        <w:rPr>
          <w:rFonts w:hint="eastAsia"/>
          <w:spacing w:val="0"/>
          <w:kern w:val="21"/>
          <w:sz w:val="32"/>
          <w:lang w:val="en-US" w:eastAsia="zh-CN"/>
        </w:rPr>
        <w:t>四</w:t>
      </w:r>
      <w:r>
        <w:rPr>
          <w:rFonts w:hint="eastAsia"/>
          <w:spacing w:val="0"/>
          <w:kern w:val="21"/>
          <w:sz w:val="32"/>
        </w:rPr>
        <w:t xml:space="preserve">章  </w:t>
      </w:r>
      <w:r>
        <w:rPr>
          <w:rFonts w:hint="eastAsia"/>
          <w:spacing w:val="0"/>
          <w:kern w:val="21"/>
          <w:sz w:val="32"/>
          <w:lang w:eastAsia="zh-CN"/>
        </w:rPr>
        <w:t>实施创新驱动发展战略</w:t>
      </w:r>
      <w:r>
        <w:rPr>
          <w:rFonts w:hint="eastAsia" w:ascii="黑体" w:hAnsi="黑体" w:eastAsia="黑体" w:cs="黑体"/>
          <w:color w:val="auto"/>
          <w:spacing w:val="0"/>
          <w:sz w:val="32"/>
          <w:szCs w:val="32"/>
          <w:highlight w:val="none"/>
        </w:rPr>
        <w:t>，</w:t>
      </w:r>
      <w:r>
        <w:rPr>
          <w:rFonts w:hint="eastAsia" w:ascii="黑体" w:hAnsi="黑体" w:eastAsia="黑体" w:cs="黑体"/>
          <w:color w:val="auto"/>
          <w:spacing w:val="0"/>
          <w:sz w:val="32"/>
          <w:szCs w:val="32"/>
          <w:highlight w:val="none"/>
          <w:lang w:eastAsia="zh-CN"/>
        </w:rPr>
        <w:t>因地制宜加快</w:t>
      </w:r>
      <w:r>
        <w:rPr>
          <w:rFonts w:hint="eastAsia" w:ascii="黑体" w:hAnsi="黑体" w:eastAsia="黑体" w:cs="黑体"/>
          <w:color w:val="auto"/>
          <w:spacing w:val="0"/>
          <w:sz w:val="32"/>
          <w:szCs w:val="32"/>
          <w:highlight w:val="none"/>
        </w:rPr>
        <w:t>发展新质生产力</w:t>
      </w:r>
      <w:bookmarkEnd w:id="147"/>
      <w:bookmarkEnd w:id="148"/>
      <w:bookmarkEnd w:id="149"/>
      <w:bookmarkEnd w:id="150"/>
      <w:bookmarkEnd w:id="151"/>
    </w:p>
    <w:p w14:paraId="6C1AF48B">
      <w:pPr>
        <w:keepNext w:val="0"/>
        <w:keepLines w:val="0"/>
        <w:pageBreakBefore w:val="0"/>
        <w:kinsoku/>
        <w:wordWrap/>
        <w:overflowPunct w:val="0"/>
        <w:topLinePunct/>
        <w:autoSpaceDE/>
        <w:autoSpaceDN/>
        <w:bidi w:val="0"/>
        <w:adjustRightInd/>
        <w:spacing w:line="560" w:lineRule="exact"/>
        <w:ind w:firstLine="640" w:firstLineChars="200"/>
        <w:textAlignment w:val="auto"/>
        <w:rPr>
          <w:rFonts w:hint="eastAsia" w:ascii="仿宋_GB2312" w:hAnsi="仿宋_GB2312" w:eastAsia="仿宋_GB2312" w:cs="仿宋_GB2312"/>
          <w:spacing w:val="0"/>
          <w:kern w:val="21"/>
          <w:sz w:val="32"/>
          <w:szCs w:val="32"/>
          <w:lang w:bidi="ar"/>
        </w:rPr>
      </w:pPr>
    </w:p>
    <w:p w14:paraId="090A396C">
      <w:pPr>
        <w:pStyle w:val="22"/>
        <w:keepNext w:val="0"/>
        <w:keepLines w:val="0"/>
        <w:pageBreakBefore w:val="0"/>
        <w:widowControl w:val="0"/>
        <w:kinsoku/>
        <w:wordWrap/>
        <w:overflowPunct w:val="0"/>
        <w:topLinePunct/>
        <w:autoSpaceDE/>
        <w:autoSpaceDN/>
        <w:bidi w:val="0"/>
        <w:adjustRightInd w:val="0"/>
        <w:snapToGrid w:val="0"/>
        <w:spacing w:before="0" w:beforeAutospacing="0" w:after="0" w:afterAutospacing="0" w:line="560" w:lineRule="exact"/>
        <w:ind w:firstLine="624"/>
        <w:jc w:val="both"/>
        <w:textAlignment w:val="auto"/>
        <w:rPr>
          <w:rFonts w:hint="eastAsia" w:eastAsia="仿宋_GB2312"/>
          <w:b w:val="0"/>
          <w:snapToGrid w:val="0"/>
          <w:spacing w:val="0"/>
          <w:sz w:val="32"/>
          <w:szCs w:val="32"/>
        </w:rPr>
      </w:pPr>
      <w:r>
        <w:rPr>
          <w:rFonts w:hint="eastAsia" w:eastAsia="仿宋_GB2312"/>
          <w:b w:val="0"/>
          <w:snapToGrid w:val="0"/>
          <w:spacing w:val="0"/>
          <w:sz w:val="32"/>
          <w:szCs w:val="32"/>
        </w:rPr>
        <w:t>坚持“四个面向”，</w:t>
      </w:r>
      <w:r>
        <w:rPr>
          <w:rFonts w:hint="eastAsia" w:eastAsia="仿宋_GB2312"/>
          <w:b w:val="0"/>
          <w:snapToGrid w:val="0"/>
          <w:spacing w:val="0"/>
          <w:sz w:val="32"/>
          <w:szCs w:val="32"/>
          <w:lang w:eastAsia="zh-CN"/>
        </w:rPr>
        <w:t>落实苏州创新引领工程，</w:t>
      </w:r>
      <w:r>
        <w:rPr>
          <w:rFonts w:hint="eastAsia" w:ascii="仿宋_GB2312" w:hAnsi="仿宋_GB2312" w:eastAsia="仿宋_GB2312" w:cs="仿宋_GB2312"/>
          <w:spacing w:val="0"/>
          <w:kern w:val="21"/>
          <w:sz w:val="32"/>
          <w:szCs w:val="32"/>
          <w:lang w:bidi="ar"/>
        </w:rPr>
        <w:t>打通产学研用链条，推动科技创新和产业创新深度融合，着力打造驱动力更强的创新生态，引领发展新质生产力。</w:t>
      </w:r>
    </w:p>
    <w:p w14:paraId="31B65ADB">
      <w:pPr>
        <w:pStyle w:val="3"/>
        <w:keepNext w:val="0"/>
        <w:keepLines w:val="0"/>
        <w:pageBreakBefore w:val="0"/>
        <w:numPr>
          <w:ilvl w:val="0"/>
          <w:numId w:val="0"/>
        </w:numPr>
        <w:kinsoku/>
        <w:wordWrap/>
        <w:overflowPunct w:val="0"/>
        <w:topLinePunct/>
        <w:autoSpaceDE/>
        <w:autoSpaceDN/>
        <w:bidi w:val="0"/>
        <w:adjustRightInd/>
        <w:spacing w:before="156" w:after="156" w:line="560" w:lineRule="exact"/>
        <w:textAlignment w:val="auto"/>
        <w:rPr>
          <w:rFonts w:eastAsia="宋体"/>
          <w:spacing w:val="0"/>
          <w:sz w:val="32"/>
          <w:highlight w:val="none"/>
        </w:rPr>
      </w:pPr>
      <w:bookmarkStart w:id="152" w:name="_Toc27489"/>
      <w:bookmarkStart w:id="153" w:name="_Toc1971207277"/>
      <w:bookmarkStart w:id="154" w:name="_Toc21612"/>
      <w:bookmarkStart w:id="155" w:name="_Toc17957"/>
      <w:bookmarkStart w:id="156" w:name="_Toc1596408120"/>
      <w:r>
        <w:rPr>
          <w:rFonts w:ascii="楷体_GB2312" w:hAnsi="楷体_GB2312" w:eastAsia="楷体_GB2312" w:cs="楷体_GB2312"/>
          <w:spacing w:val="0"/>
          <w:kern w:val="21"/>
          <w:sz w:val="32"/>
          <w:highlight w:val="none"/>
        </w:rPr>
        <w:t>第</w:t>
      </w:r>
      <w:r>
        <w:rPr>
          <w:rFonts w:hint="eastAsia" w:ascii="楷体_GB2312" w:hAnsi="楷体_GB2312" w:eastAsia="楷体_GB2312" w:cs="楷体_GB2312"/>
          <w:spacing w:val="0"/>
          <w:kern w:val="21"/>
          <w:sz w:val="32"/>
          <w:highlight w:val="none"/>
          <w:lang w:eastAsia="zh-CN"/>
        </w:rPr>
        <w:t>一</w:t>
      </w:r>
      <w:r>
        <w:rPr>
          <w:rFonts w:ascii="楷体_GB2312" w:hAnsi="楷体_GB2312" w:eastAsia="楷体_GB2312" w:cs="楷体_GB2312"/>
          <w:spacing w:val="0"/>
          <w:kern w:val="21"/>
          <w:sz w:val="32"/>
          <w:highlight w:val="none"/>
        </w:rPr>
        <w:t>节</w:t>
      </w:r>
      <w:r>
        <w:rPr>
          <w:rFonts w:hint="eastAsia" w:ascii="楷体_GB2312" w:hAnsi="楷体_GB2312" w:eastAsia="楷体_GB2312" w:cs="楷体_GB2312"/>
          <w:spacing w:val="0"/>
          <w:kern w:val="21"/>
          <w:sz w:val="32"/>
          <w:highlight w:val="none"/>
          <w:lang w:val="en-US" w:eastAsia="zh-CN"/>
        </w:rPr>
        <w:t xml:space="preserve"> </w:t>
      </w:r>
      <w:r>
        <w:rPr>
          <w:rFonts w:ascii="楷体_GB2312" w:hAnsi="楷体_GB2312" w:eastAsia="楷体_GB2312" w:cs="楷体_GB2312"/>
          <w:spacing w:val="0"/>
          <w:kern w:val="21"/>
          <w:sz w:val="32"/>
          <w:highlight w:val="none"/>
        </w:rPr>
        <w:t xml:space="preserve"> </w:t>
      </w:r>
      <w:r>
        <w:rPr>
          <w:rFonts w:hint="eastAsia" w:ascii="楷体_GB2312" w:hAnsi="楷体_GB2312" w:eastAsia="楷体_GB2312" w:cs="楷体_GB2312"/>
          <w:spacing w:val="0"/>
          <w:kern w:val="21"/>
          <w:sz w:val="32"/>
          <w:highlight w:val="none"/>
          <w:lang w:eastAsia="zh-CN"/>
        </w:rPr>
        <w:t>全面增强自主创新能力</w:t>
      </w:r>
      <w:bookmarkEnd w:id="152"/>
      <w:bookmarkEnd w:id="153"/>
      <w:bookmarkEnd w:id="154"/>
      <w:bookmarkEnd w:id="155"/>
      <w:bookmarkEnd w:id="156"/>
    </w:p>
    <w:p w14:paraId="27CF4375">
      <w:pPr>
        <w:keepNext w:val="0"/>
        <w:keepLines w:val="0"/>
        <w:pageBreakBefore w:val="0"/>
        <w:widowControl w:val="0"/>
        <w:kinsoku/>
        <w:wordWrap/>
        <w:overflowPunct w:val="0"/>
        <w:topLinePunct/>
        <w:autoSpaceDE/>
        <w:autoSpaceDN/>
        <w:bidi w:val="0"/>
        <w:adjustRightInd/>
        <w:snapToGrid/>
        <w:spacing w:line="560" w:lineRule="exact"/>
        <w:ind w:firstLine="640" w:firstLineChars="200"/>
        <w:textAlignment w:val="auto"/>
        <w:rPr>
          <w:rFonts w:hint="eastAsia" w:ascii="仿宋_GB2312" w:hAnsi="仿宋_GB2312" w:eastAsia="仿宋_GB2312" w:cs="仿宋_GB2312"/>
          <w:b/>
          <w:bCs/>
          <w:spacing w:val="0"/>
          <w:kern w:val="21"/>
          <w:sz w:val="32"/>
          <w:szCs w:val="32"/>
          <w:lang w:bidi="ar"/>
        </w:rPr>
      </w:pPr>
      <w:r>
        <w:rPr>
          <w:rFonts w:hint="eastAsia" w:ascii="仿宋_GB2312" w:hAnsi="仿宋_GB2312" w:eastAsia="仿宋_GB2312" w:cs="仿宋_GB2312"/>
          <w:color w:val="auto"/>
          <w:spacing w:val="0"/>
          <w:sz w:val="32"/>
          <w:szCs w:val="32"/>
          <w:highlight w:val="none"/>
        </w:rPr>
        <w:t>坚持创新驱动，</w:t>
      </w:r>
      <w:r>
        <w:rPr>
          <w:rFonts w:hint="eastAsia" w:ascii="仿宋_GB2312" w:hAnsi="仿宋_GB2312" w:eastAsia="仿宋_GB2312" w:cs="仿宋_GB2312"/>
          <w:color w:val="auto"/>
          <w:spacing w:val="0"/>
          <w:sz w:val="32"/>
          <w:szCs w:val="32"/>
          <w:highlight w:val="none"/>
          <w:lang w:val="en-US" w:eastAsia="zh-CN"/>
        </w:rPr>
        <w:t>全链条推动优势产业领域提升自主创新水平，围绕产业优化创新空间布局，完善区域创新体系，深度融入上海（长三角）国际科技创新中心，积极参与吴淞江科创带建设。</w:t>
      </w:r>
    </w:p>
    <w:p w14:paraId="51495905">
      <w:pPr>
        <w:keepNext w:val="0"/>
        <w:keepLines w:val="0"/>
        <w:pageBreakBefore w:val="0"/>
        <w:widowControl w:val="0"/>
        <w:kinsoku/>
        <w:wordWrap/>
        <w:overflowPunct w:val="0"/>
        <w:topLinePunct/>
        <w:autoSpaceDE/>
        <w:autoSpaceDN/>
        <w:bidi w:val="0"/>
        <w:adjustRightInd/>
        <w:snapToGrid/>
        <w:spacing w:line="560" w:lineRule="exact"/>
        <w:ind w:firstLine="643" w:firstLineChars="200"/>
        <w:textAlignment w:val="auto"/>
        <w:rPr>
          <w:rFonts w:hint="eastAsia" w:ascii="仿宋_GB2312" w:hAnsi="仿宋_GB2312" w:eastAsia="仿宋_GB2312" w:cs="仿宋_GB2312"/>
          <w:color w:val="auto"/>
          <w:spacing w:val="0"/>
          <w:sz w:val="32"/>
          <w:szCs w:val="32"/>
          <w:highlight w:val="none"/>
          <w:lang w:val="en-US" w:eastAsia="zh-CN"/>
        </w:rPr>
      </w:pPr>
      <w:bookmarkStart w:id="157" w:name="_Toc23209"/>
      <w:bookmarkStart w:id="158" w:name="_Toc2085492674"/>
      <w:bookmarkStart w:id="159" w:name="_Toc20648"/>
      <w:bookmarkStart w:id="160" w:name="_Toc172293246"/>
      <w:bookmarkStart w:id="161" w:name="_Toc10592"/>
      <w:r>
        <w:rPr>
          <w:rStyle w:val="46"/>
          <w:rFonts w:hint="eastAsia" w:ascii="仿宋_GB2312" w:hAnsi="仿宋_GB2312" w:eastAsia="仿宋_GB2312" w:cs="Times New Roman"/>
          <w:b/>
          <w:bCs/>
          <w:spacing w:val="0"/>
          <w:kern w:val="21"/>
          <w:sz w:val="32"/>
          <w:szCs w:val="32"/>
          <w:lang w:bidi="ar"/>
        </w:rPr>
        <w:t>强化企业科技创新主体地位</w:t>
      </w:r>
      <w:bookmarkEnd w:id="157"/>
      <w:bookmarkEnd w:id="158"/>
      <w:bookmarkEnd w:id="159"/>
      <w:bookmarkEnd w:id="160"/>
      <w:bookmarkEnd w:id="161"/>
      <w:r>
        <w:rPr>
          <w:rFonts w:hint="eastAsia" w:ascii="仿宋_GB2312" w:hAnsi="仿宋_GB2312" w:eastAsia="仿宋_GB2312" w:cs="仿宋_GB2312"/>
          <w:b/>
          <w:bCs/>
          <w:spacing w:val="0"/>
          <w:kern w:val="21"/>
          <w:sz w:val="32"/>
          <w:szCs w:val="32"/>
          <w:lang w:bidi="ar"/>
        </w:rPr>
        <w:t>。</w:t>
      </w:r>
      <w:r>
        <w:rPr>
          <w:rFonts w:hint="eastAsia" w:ascii="仿宋_GB2312" w:hAnsi="仿宋_GB2312" w:eastAsia="仿宋_GB2312" w:cs="仿宋_GB2312"/>
          <w:spacing w:val="0"/>
          <w:sz w:val="32"/>
          <w:szCs w:val="32"/>
        </w:rPr>
        <w:t>围绕企业成长全生命周期，落实好企业研发费用加计扣除等政策，推动创新资源向企业集聚，加大政府采购自主创新产品力度</w:t>
      </w:r>
      <w:r>
        <w:rPr>
          <w:rFonts w:hint="eastAsia" w:ascii="仿宋_GB2312" w:eastAsia="仿宋_GB2312" w:cs="Times New Roman"/>
          <w:spacing w:val="0"/>
          <w:sz w:val="32"/>
          <w:szCs w:val="32"/>
        </w:rPr>
        <w:t>。</w:t>
      </w:r>
      <w:r>
        <w:rPr>
          <w:rFonts w:hint="eastAsia" w:ascii="仿宋_GB2312" w:hAnsi="仿宋_GB2312" w:eastAsia="仿宋_GB2312" w:cs="仿宋_GB2312"/>
          <w:spacing w:val="0"/>
          <w:kern w:val="21"/>
          <w:sz w:val="32"/>
          <w:szCs w:val="32"/>
          <w:lang w:bidi="ar"/>
        </w:rPr>
        <w:t>坚持龙头企业牵头、高校院所支撑，各创新主体相互协同，打造一批任务型创新联合体。</w:t>
      </w:r>
      <w:r>
        <w:rPr>
          <w:rFonts w:hint="eastAsia" w:ascii="仿宋_GB2312" w:hAnsi="仿宋_GB2312" w:eastAsia="仿宋_GB2312" w:cs="仿宋_GB2312"/>
          <w:color w:val="auto"/>
          <w:spacing w:val="0"/>
          <w:sz w:val="32"/>
          <w:szCs w:val="32"/>
          <w:highlight w:val="none"/>
          <w:lang w:eastAsia="zh-CN" w:bidi="ar"/>
        </w:rPr>
        <w:t>鼓励</w:t>
      </w:r>
      <w:r>
        <w:rPr>
          <w:rFonts w:hint="eastAsia" w:ascii="Calibri" w:hAnsi="Calibri" w:eastAsia="仿宋_GB2312" w:cs="Times New Roman"/>
          <w:snapToGrid w:val="0"/>
          <w:spacing w:val="0"/>
          <w:kern w:val="0"/>
          <w:sz w:val="32"/>
          <w:szCs w:val="32"/>
          <w:highlight w:val="none"/>
          <w:shd w:val="clear" w:color="auto" w:fill="auto"/>
          <w:lang w:eastAsia="zh-CN" w:bidi="ar"/>
        </w:rPr>
        <w:t>支持</w:t>
      </w:r>
      <w:r>
        <w:rPr>
          <w:rFonts w:hint="eastAsia" w:ascii="Calibri" w:hAnsi="Calibri" w:eastAsia="仿宋_GB2312" w:cs="Times New Roman"/>
          <w:snapToGrid w:val="0"/>
          <w:spacing w:val="0"/>
          <w:kern w:val="0"/>
          <w:sz w:val="32"/>
          <w:szCs w:val="32"/>
          <w:shd w:val="clear" w:color="auto" w:fill="auto"/>
          <w:lang w:bidi="ar"/>
        </w:rPr>
        <w:t>企业</w:t>
      </w:r>
      <w:r>
        <w:rPr>
          <w:rFonts w:hint="eastAsia" w:eastAsia="仿宋_GB2312" w:cs="Times New Roman"/>
          <w:snapToGrid w:val="0"/>
          <w:spacing w:val="0"/>
          <w:kern w:val="0"/>
          <w:sz w:val="32"/>
          <w:szCs w:val="32"/>
          <w:shd w:val="clear" w:color="auto" w:fill="auto"/>
          <w:lang w:eastAsia="zh-CN" w:bidi="ar"/>
        </w:rPr>
        <w:t>创建</w:t>
      </w:r>
      <w:r>
        <w:rPr>
          <w:rFonts w:hint="eastAsia" w:ascii="Calibri" w:hAnsi="Calibri" w:eastAsia="仿宋_GB2312" w:cs="Times New Roman"/>
          <w:snapToGrid w:val="0"/>
          <w:spacing w:val="0"/>
          <w:kern w:val="0"/>
          <w:sz w:val="32"/>
          <w:szCs w:val="32"/>
          <w:highlight w:val="none"/>
          <w:shd w:val="clear" w:color="auto" w:fill="auto"/>
          <w:lang w:eastAsia="zh-CN" w:bidi="ar"/>
        </w:rPr>
        <w:t>国家级企业技术中心</w:t>
      </w:r>
      <w:r>
        <w:rPr>
          <w:rFonts w:hint="eastAsia" w:eastAsia="仿宋_GB2312" w:cs="Times New Roman"/>
          <w:snapToGrid w:val="0"/>
          <w:spacing w:val="0"/>
          <w:kern w:val="0"/>
          <w:sz w:val="32"/>
          <w:szCs w:val="32"/>
          <w:highlight w:val="none"/>
          <w:shd w:val="clear" w:color="auto" w:fill="auto"/>
          <w:lang w:eastAsia="zh-CN" w:bidi="ar"/>
        </w:rPr>
        <w:t>、</w:t>
      </w:r>
      <w:r>
        <w:rPr>
          <w:rFonts w:hint="eastAsia" w:eastAsia="仿宋_GB2312" w:cs="Times New Roman"/>
          <w:snapToGrid w:val="0"/>
          <w:spacing w:val="0"/>
          <w:kern w:val="0"/>
          <w:sz w:val="32"/>
          <w:szCs w:val="32"/>
          <w:highlight w:val="none"/>
          <w:shd w:val="clear" w:color="auto" w:fill="auto"/>
          <w:lang w:val="en-US" w:eastAsia="zh-CN" w:bidi="ar"/>
        </w:rPr>
        <w:t>省级以上重点实验室等高水平研发机构。</w:t>
      </w:r>
      <w:r>
        <w:rPr>
          <w:rFonts w:hint="eastAsia" w:ascii="仿宋_GB2312" w:hAnsi="仿宋_GB2312" w:eastAsia="仿宋_GB2312" w:cs="仿宋_GB2312"/>
          <w:spacing w:val="0"/>
          <w:kern w:val="21"/>
          <w:sz w:val="32"/>
          <w:szCs w:val="32"/>
          <w:lang w:bidi="ar"/>
        </w:rPr>
        <w:t>推动企业承担国家、省、市科技计划项目，开展核心技术攻关，推动科技成果转化</w:t>
      </w:r>
      <w:r>
        <w:rPr>
          <w:rFonts w:hint="eastAsia" w:ascii="仿宋_GB2312" w:hAnsi="仿宋_GB2312" w:eastAsia="仿宋_GB2312" w:cs="仿宋_GB2312"/>
          <w:spacing w:val="0"/>
          <w:kern w:val="21"/>
          <w:sz w:val="32"/>
          <w:szCs w:val="32"/>
        </w:rPr>
        <w:t>。</w:t>
      </w:r>
      <w:r>
        <w:rPr>
          <w:rFonts w:hint="eastAsia" w:ascii="仿宋_GB2312" w:hAnsi="仿宋_GB2312" w:eastAsia="仿宋_GB2312" w:cs="仿宋_GB2312"/>
          <w:spacing w:val="0"/>
          <w:kern w:val="21"/>
          <w:sz w:val="32"/>
          <w:szCs w:val="32"/>
          <w:lang w:bidi="ar"/>
        </w:rPr>
        <w:t>持续健全技能人才培养、使用、评价、激励体系，支持企业自主培养评价技能人才，强化高技能人才培养机制，加快构建特色鲜明、优势突出、梯次布局的公共实训体系。</w:t>
      </w:r>
      <w:r>
        <w:rPr>
          <w:rFonts w:hint="default" w:ascii="仿宋_GB2312" w:eastAsia="仿宋_GB2312" w:cs="Times New Roman"/>
          <w:spacing w:val="0"/>
          <w:sz w:val="32"/>
          <w:szCs w:val="32"/>
          <w:lang w:val="en-US" w:eastAsia="zh-CN"/>
        </w:rPr>
        <w:t>深入推进</w:t>
      </w:r>
      <w:r>
        <w:rPr>
          <w:rFonts w:hint="eastAsia" w:ascii="仿宋_GB2312" w:hAnsi="仿宋_GB2312" w:eastAsia="仿宋_GB2312" w:cs="仿宋_GB2312"/>
          <w:spacing w:val="0"/>
          <w:sz w:val="32"/>
          <w:szCs w:val="32"/>
          <w:lang w:val="en-US" w:eastAsia="zh-CN"/>
        </w:rPr>
        <w:t>“筑峰强链”</w:t>
      </w:r>
      <w:r>
        <w:rPr>
          <w:rFonts w:hint="default" w:ascii="仿宋_GB2312" w:eastAsia="仿宋_GB2312" w:cs="Times New Roman"/>
          <w:spacing w:val="0"/>
          <w:sz w:val="32"/>
          <w:szCs w:val="32"/>
          <w:lang w:val="en-US" w:eastAsia="zh-CN"/>
        </w:rPr>
        <w:t>企业培育支持计划，</w:t>
      </w:r>
      <w:r>
        <w:rPr>
          <w:rFonts w:hint="eastAsia" w:ascii="仿宋_GB2312" w:hAnsi="仿宋_GB2312" w:eastAsia="仿宋_GB2312" w:cs="仿宋_GB2312"/>
          <w:color w:val="auto"/>
          <w:spacing w:val="0"/>
          <w:sz w:val="32"/>
          <w:szCs w:val="32"/>
          <w:highlight w:val="none"/>
          <w:lang w:val="en-US" w:eastAsia="zh-CN"/>
        </w:rPr>
        <w:t>打造一批具有世界级创新能力、品牌知名度、资源整合能力、企业家影响力的领军型企业，培育一批韧性强、潜力大、成长性好的中小型企业。</w:t>
      </w:r>
      <w:r>
        <w:rPr>
          <w:rFonts w:hint="eastAsia" w:ascii="仿宋_GB2312" w:eastAsia="仿宋_GB2312" w:cs="Times New Roman"/>
          <w:spacing w:val="0"/>
          <w:sz w:val="32"/>
          <w:szCs w:val="32"/>
          <w:lang w:val="en-US" w:eastAsia="zh-CN"/>
        </w:rPr>
        <w:t>到2030年，有效高新技术企业达2200家</w:t>
      </w:r>
      <w:r>
        <w:rPr>
          <w:rFonts w:hint="eastAsia" w:ascii="仿宋_GB2312" w:hAnsi="仿宋_GB2312" w:eastAsia="仿宋_GB2312" w:cs="仿宋_GB2312"/>
          <w:color w:val="auto"/>
          <w:spacing w:val="0"/>
          <w:sz w:val="32"/>
          <w:szCs w:val="32"/>
          <w:highlight w:val="none"/>
          <w:lang w:val="en-US" w:eastAsia="zh-CN"/>
        </w:rPr>
        <w:t>。</w:t>
      </w:r>
    </w:p>
    <w:p w14:paraId="2D7104B8">
      <w:pPr>
        <w:keepNext w:val="0"/>
        <w:keepLines w:val="0"/>
        <w:pageBreakBefore w:val="0"/>
        <w:widowControl w:val="0"/>
        <w:kinsoku/>
        <w:wordWrap/>
        <w:overflowPunct w:val="0"/>
        <w:topLinePunct/>
        <w:autoSpaceDE/>
        <w:autoSpaceDN/>
        <w:bidi w:val="0"/>
        <w:adjustRightInd/>
        <w:snapToGrid/>
        <w:spacing w:line="560" w:lineRule="exact"/>
        <w:ind w:firstLine="643" w:firstLineChars="200"/>
        <w:textAlignment w:val="auto"/>
        <w:rPr>
          <w:rFonts w:hint="eastAsia" w:ascii="Times New Roman" w:hAnsi="Times New Roman" w:eastAsia="仿宋_GB2312"/>
          <w:spacing w:val="0"/>
          <w:kern w:val="21"/>
          <w:sz w:val="32"/>
          <w:szCs w:val="32"/>
          <w:lang w:bidi="ar"/>
        </w:rPr>
      </w:pPr>
      <w:bookmarkStart w:id="162" w:name="_Toc7045"/>
      <w:bookmarkStart w:id="163" w:name="_Toc28131"/>
      <w:bookmarkStart w:id="164" w:name="_Toc917935403"/>
      <w:bookmarkStart w:id="165" w:name="_Toc32699"/>
      <w:bookmarkStart w:id="166" w:name="_Toc422559670"/>
      <w:r>
        <w:rPr>
          <w:rStyle w:val="46"/>
          <w:rFonts w:hint="eastAsia" w:ascii="仿宋_GB2312" w:hAnsi="仿宋_GB2312" w:eastAsia="仿宋_GB2312" w:cs="Times New Roman"/>
          <w:b/>
          <w:bCs/>
          <w:spacing w:val="0"/>
          <w:kern w:val="21"/>
          <w:sz w:val="32"/>
          <w:szCs w:val="32"/>
          <w:lang w:eastAsia="zh-CN" w:bidi="ar"/>
        </w:rPr>
        <w:t>提升科创载体平台功能作用</w:t>
      </w:r>
      <w:r>
        <w:rPr>
          <w:rStyle w:val="46"/>
          <w:rFonts w:hint="eastAsia" w:ascii="仿宋_GB2312" w:hAnsi="仿宋_GB2312" w:eastAsia="仿宋_GB2312" w:cs="Times New Roman"/>
          <w:b/>
          <w:bCs/>
          <w:spacing w:val="0"/>
          <w:kern w:val="21"/>
          <w:sz w:val="32"/>
          <w:szCs w:val="32"/>
          <w:lang w:bidi="ar"/>
        </w:rPr>
        <w:t>。</w:t>
      </w:r>
      <w:bookmarkEnd w:id="162"/>
      <w:bookmarkEnd w:id="163"/>
      <w:bookmarkEnd w:id="164"/>
      <w:bookmarkEnd w:id="165"/>
      <w:bookmarkEnd w:id="166"/>
      <w:r>
        <w:rPr>
          <w:rFonts w:hint="eastAsia" w:ascii="仿宋_GB2312" w:hAnsi="仿宋_GB2312" w:eastAsia="仿宋_GB2312" w:cs="仿宋_GB2312"/>
          <w:spacing w:val="0"/>
          <w:kern w:val="21"/>
          <w:sz w:val="32"/>
          <w:szCs w:val="32"/>
          <w:lang w:bidi="ar"/>
        </w:rPr>
        <w:t>放大国家先进功能纤维创新中心、清华</w:t>
      </w:r>
      <w:r>
        <w:rPr>
          <w:rFonts w:hint="eastAsia" w:ascii="仿宋_GB2312" w:hAnsi="仿宋_GB2312" w:eastAsia="仿宋_GB2312" w:cs="仿宋_GB2312"/>
          <w:spacing w:val="0"/>
          <w:kern w:val="21"/>
          <w:sz w:val="32"/>
          <w:szCs w:val="32"/>
          <w:lang w:eastAsia="zh-CN" w:bidi="ar"/>
        </w:rPr>
        <w:t>大学苏州</w:t>
      </w:r>
      <w:r>
        <w:rPr>
          <w:rFonts w:hint="eastAsia" w:ascii="仿宋_GB2312" w:hAnsi="仿宋_GB2312" w:eastAsia="仿宋_GB2312" w:cs="仿宋_GB2312"/>
          <w:spacing w:val="0"/>
          <w:kern w:val="21"/>
          <w:sz w:val="32"/>
          <w:szCs w:val="32"/>
          <w:lang w:bidi="ar"/>
        </w:rPr>
        <w:t>汽研院等重大平台载体能级</w:t>
      </w:r>
      <w:r>
        <w:rPr>
          <w:rFonts w:hint="eastAsia" w:ascii="仿宋_GB2312" w:hAnsi="仿宋_GB2312" w:eastAsia="仿宋_GB2312" w:cs="仿宋_GB2312"/>
          <w:spacing w:val="0"/>
          <w:kern w:val="21"/>
          <w:sz w:val="32"/>
          <w:szCs w:val="32"/>
        </w:rPr>
        <w:t>。深化与苏州</w:t>
      </w:r>
      <w:r>
        <w:rPr>
          <w:rFonts w:hint="eastAsia" w:ascii="仿宋_GB2312" w:hAnsi="仿宋_GB2312" w:eastAsia="仿宋_GB2312" w:cs="仿宋_GB2312"/>
          <w:spacing w:val="0"/>
          <w:kern w:val="21"/>
          <w:sz w:val="32"/>
          <w:szCs w:val="32"/>
          <w:lang w:eastAsia="zh-CN"/>
        </w:rPr>
        <w:t>实验室</w:t>
      </w:r>
      <w:r>
        <w:rPr>
          <w:rFonts w:hint="eastAsia" w:ascii="仿宋_GB2312" w:hAnsi="仿宋_GB2312" w:eastAsia="仿宋_GB2312" w:cs="仿宋_GB2312"/>
          <w:spacing w:val="0"/>
          <w:kern w:val="21"/>
          <w:sz w:val="32"/>
          <w:szCs w:val="32"/>
        </w:rPr>
        <w:t>等高端科研机构的战略合作，推动平台间资源互通、优势互补，联合争取国家级、省部级重大科技项目，突破产业技术瓶颈，</w:t>
      </w:r>
      <w:r>
        <w:rPr>
          <w:rFonts w:hint="eastAsia" w:ascii="仿宋_GB2312" w:hAnsi="仿宋_GB2312" w:eastAsia="仿宋_GB2312" w:cs="仿宋_GB2312"/>
          <w:spacing w:val="0"/>
          <w:kern w:val="21"/>
          <w:sz w:val="32"/>
          <w:szCs w:val="32"/>
          <w:lang w:bidi="ar"/>
        </w:rPr>
        <w:t>推出更多国产替代、自主可控的“拳头产品”</w:t>
      </w:r>
      <w:r>
        <w:rPr>
          <w:rFonts w:hint="eastAsia" w:ascii="仿宋_GB2312" w:hAnsi="仿宋_GB2312" w:eastAsia="仿宋_GB2312" w:cs="仿宋_GB2312"/>
          <w:spacing w:val="0"/>
          <w:kern w:val="21"/>
          <w:sz w:val="32"/>
          <w:szCs w:val="32"/>
        </w:rPr>
        <w:t>。推进苏大未来校区建设，</w:t>
      </w:r>
      <w:r>
        <w:rPr>
          <w:rFonts w:hint="eastAsia" w:ascii="仿宋_GB2312" w:hAnsi="仿宋_GB2312" w:eastAsia="仿宋_GB2312" w:cs="仿宋_GB2312"/>
          <w:color w:val="auto"/>
          <w:spacing w:val="0"/>
          <w:sz w:val="32"/>
          <w:szCs w:val="32"/>
          <w:highlight w:val="none"/>
          <w:lang w:val="en-US" w:eastAsia="zh-CN"/>
        </w:rPr>
        <w:t>建强用好</w:t>
      </w:r>
      <w:r>
        <w:rPr>
          <w:rFonts w:hint="eastAsia" w:ascii="仿宋_GB2312" w:hAnsi="仿宋_GB2312" w:eastAsia="仿宋_GB2312" w:cs="仿宋_GB2312"/>
          <w:spacing w:val="0"/>
          <w:sz w:val="32"/>
          <w:szCs w:val="32"/>
          <w:lang w:val="en-US" w:eastAsia="zh-CN"/>
        </w:rPr>
        <w:t>西安、杭州两个创新中心</w:t>
      </w:r>
      <w:r>
        <w:rPr>
          <w:rFonts w:hint="eastAsia" w:ascii="仿宋_GB2312" w:hAnsi="仿宋_GB2312" w:eastAsia="仿宋_GB2312" w:cs="仿宋_GB2312"/>
          <w:spacing w:val="0"/>
          <w:kern w:val="21"/>
          <w:sz w:val="32"/>
          <w:szCs w:val="32"/>
        </w:rPr>
        <w:t>。加快布局概念验证中心和中试工程化服务平台，</w:t>
      </w:r>
      <w:r>
        <w:rPr>
          <w:rFonts w:hint="eastAsia" w:ascii="仿宋_GB2312" w:hAnsi="仿宋_GB2312" w:eastAsia="仿宋_GB2312" w:cs="仿宋_GB2312"/>
          <w:spacing w:val="0"/>
          <w:kern w:val="21"/>
          <w:sz w:val="32"/>
          <w:szCs w:val="32"/>
          <w:lang w:bidi="ar"/>
        </w:rPr>
        <w:t>建设先进印染制造等中试平台。引培一批高水平的技术转移机构、检验检测认证机构、创业孵化机构。</w:t>
      </w:r>
      <w:r>
        <w:rPr>
          <w:rFonts w:hint="eastAsia" w:ascii="仿宋_GB2312" w:hAnsi="仿宋_GB2312" w:eastAsia="仿宋_GB2312" w:cs="仿宋_GB2312"/>
          <w:spacing w:val="0"/>
          <w:kern w:val="21"/>
          <w:sz w:val="32"/>
          <w:szCs w:val="32"/>
        </w:rPr>
        <w:t>完善“众创空间－孵化器</w:t>
      </w:r>
      <w:r>
        <w:rPr>
          <w:rFonts w:hint="eastAsia" w:ascii="仿宋_GB2312" w:hAnsi="仿宋_GB2312" w:eastAsia="仿宋_GB2312" w:cs="仿宋_GB2312"/>
          <w:spacing w:val="0"/>
          <w:kern w:val="21"/>
          <w:sz w:val="32"/>
          <w:szCs w:val="32"/>
          <w:lang w:eastAsia="zh-CN"/>
        </w:rPr>
        <w:t>－</w:t>
      </w:r>
      <w:r>
        <w:rPr>
          <w:rFonts w:hint="eastAsia" w:ascii="仿宋_GB2312" w:hAnsi="仿宋_GB2312" w:eastAsia="仿宋_GB2312" w:cs="仿宋_GB2312"/>
          <w:spacing w:val="0"/>
          <w:kern w:val="21"/>
          <w:sz w:val="32"/>
          <w:szCs w:val="32"/>
        </w:rPr>
        <w:t>加速器”的科技创业孵化链条建设。</w:t>
      </w:r>
      <w:r>
        <w:rPr>
          <w:rFonts w:ascii="Times New Roman" w:hAnsi="Times New Roman" w:eastAsia="仿宋_GB2312"/>
          <w:spacing w:val="0"/>
          <w:kern w:val="21"/>
          <w:sz w:val="32"/>
          <w:szCs w:val="32"/>
          <w:lang w:bidi="ar"/>
        </w:rPr>
        <w:t>推进高新区和高校</w:t>
      </w:r>
      <w:r>
        <w:rPr>
          <w:rFonts w:hint="eastAsia" w:ascii="仿宋_GB2312" w:hAnsi="仿宋_GB2312" w:eastAsia="仿宋_GB2312" w:cs="仿宋_GB2312"/>
          <w:spacing w:val="0"/>
          <w:kern w:val="21"/>
          <w:sz w:val="32"/>
          <w:szCs w:val="32"/>
          <w:lang w:bidi="ar"/>
        </w:rPr>
        <w:t>“双高协同”</w:t>
      </w:r>
      <w:r>
        <w:rPr>
          <w:rFonts w:hint="eastAsia" w:ascii="仿宋_GB2312" w:hAnsi="仿宋_GB2312" w:eastAsia="仿宋_GB2312" w:cs="仿宋_GB2312"/>
          <w:spacing w:val="0"/>
          <w:kern w:val="21"/>
          <w:sz w:val="32"/>
          <w:szCs w:val="32"/>
          <w:lang w:eastAsia="zh-CN" w:bidi="ar"/>
        </w:rPr>
        <w:t>，</w:t>
      </w:r>
      <w:r>
        <w:rPr>
          <w:rFonts w:hint="eastAsia" w:ascii="仿宋_GB2312" w:hAnsi="仿宋_GB2312" w:eastAsia="仿宋_GB2312" w:cs="仿宋_GB2312"/>
          <w:spacing w:val="0"/>
          <w:kern w:val="21"/>
          <w:sz w:val="32"/>
          <w:szCs w:val="32"/>
          <w:lang w:val="en-US" w:eastAsia="zh-CN" w:bidi="ar"/>
        </w:rPr>
        <w:t>促进高新区成为产业科技创新主阵地</w:t>
      </w:r>
      <w:r>
        <w:rPr>
          <w:rFonts w:hint="eastAsia" w:ascii="Times New Roman" w:hAnsi="Times New Roman" w:eastAsia="仿宋_GB2312"/>
          <w:spacing w:val="0"/>
          <w:kern w:val="21"/>
          <w:sz w:val="32"/>
          <w:szCs w:val="32"/>
          <w:lang w:bidi="ar"/>
        </w:rPr>
        <w:t>。</w:t>
      </w:r>
    </w:p>
    <w:p w14:paraId="5DC6E760">
      <w:pPr>
        <w:pStyle w:val="3"/>
        <w:keepNext w:val="0"/>
        <w:keepLines w:val="0"/>
        <w:pageBreakBefore w:val="0"/>
        <w:kinsoku/>
        <w:wordWrap/>
        <w:overflowPunct w:val="0"/>
        <w:topLinePunct/>
        <w:autoSpaceDE/>
        <w:autoSpaceDN/>
        <w:bidi w:val="0"/>
        <w:adjustRightInd/>
        <w:spacing w:line="560" w:lineRule="exact"/>
        <w:ind w:firstLineChars="200"/>
        <w:textAlignment w:val="auto"/>
        <w:rPr>
          <w:rFonts w:hint="eastAsia" w:ascii="楷体_GB2312" w:hAnsi="楷体_GB2312" w:eastAsia="楷体_GB2312" w:cs="楷体_GB2312"/>
          <w:spacing w:val="0"/>
          <w:sz w:val="32"/>
          <w:lang w:eastAsia="zh-CN"/>
        </w:rPr>
      </w:pPr>
      <w:bookmarkStart w:id="167" w:name="_Toc21439"/>
      <w:bookmarkStart w:id="168" w:name="_Toc4627"/>
      <w:bookmarkStart w:id="169" w:name="_Toc1015500828"/>
      <w:bookmarkStart w:id="170" w:name="_Toc27527"/>
      <w:bookmarkStart w:id="171" w:name="_Toc1030191811"/>
      <w:r>
        <w:rPr>
          <w:rFonts w:ascii="楷体_GB2312" w:hAnsi="楷体_GB2312" w:eastAsia="楷体_GB2312" w:cs="楷体_GB2312"/>
          <w:spacing w:val="0"/>
          <w:sz w:val="32"/>
        </w:rPr>
        <w:t>第</w:t>
      </w:r>
      <w:r>
        <w:rPr>
          <w:rFonts w:hint="eastAsia" w:ascii="楷体_GB2312" w:hAnsi="楷体_GB2312" w:eastAsia="楷体_GB2312" w:cs="楷体_GB2312"/>
          <w:spacing w:val="0"/>
          <w:sz w:val="32"/>
          <w:lang w:eastAsia="zh-CN"/>
        </w:rPr>
        <w:t>二</w:t>
      </w:r>
      <w:r>
        <w:rPr>
          <w:rFonts w:ascii="楷体_GB2312" w:hAnsi="楷体_GB2312" w:eastAsia="楷体_GB2312" w:cs="楷体_GB2312"/>
          <w:spacing w:val="0"/>
          <w:sz w:val="32"/>
        </w:rPr>
        <w:t xml:space="preserve">节 </w:t>
      </w:r>
      <w:r>
        <w:rPr>
          <w:rFonts w:hint="eastAsia" w:ascii="楷体_GB2312" w:hAnsi="楷体_GB2312" w:eastAsia="楷体_GB2312" w:cs="楷体_GB2312"/>
          <w:spacing w:val="0"/>
          <w:sz w:val="32"/>
          <w:lang w:val="en-US" w:eastAsia="zh-CN"/>
        </w:rPr>
        <w:t xml:space="preserve"> </w:t>
      </w:r>
      <w:r>
        <w:rPr>
          <w:rFonts w:hint="eastAsia" w:ascii="楷体_GB2312" w:hAnsi="楷体_GB2312" w:eastAsia="楷体_GB2312" w:cs="楷体_GB2312"/>
          <w:spacing w:val="0"/>
          <w:sz w:val="32"/>
          <w:lang w:eastAsia="zh-CN"/>
        </w:rPr>
        <w:t>持续优化创新生态</w:t>
      </w:r>
      <w:bookmarkEnd w:id="167"/>
      <w:bookmarkEnd w:id="168"/>
      <w:bookmarkEnd w:id="169"/>
      <w:bookmarkEnd w:id="170"/>
      <w:bookmarkEnd w:id="171"/>
    </w:p>
    <w:p w14:paraId="1B35D784">
      <w:pPr>
        <w:keepNext w:val="0"/>
        <w:keepLines w:val="0"/>
        <w:pageBreakBefore w:val="0"/>
        <w:widowControl w:val="0"/>
        <w:kinsoku/>
        <w:wordWrap/>
        <w:overflowPunct w:val="0"/>
        <w:topLinePunct/>
        <w:autoSpaceDE/>
        <w:autoSpaceDN/>
        <w:bidi w:val="0"/>
        <w:adjustRightInd/>
        <w:snapToGrid w:val="0"/>
        <w:spacing w:before="0" w:beforeAutospacing="0" w:after="0" w:afterAutospacing="0" w:line="560" w:lineRule="exact"/>
        <w:ind w:firstLine="640" w:firstLineChars="200"/>
        <w:jc w:val="both"/>
        <w:textAlignment w:val="auto"/>
        <w:rPr>
          <w:rFonts w:hint="eastAsia" w:eastAsia="仿宋_GB2312"/>
          <w:b w:val="0"/>
          <w:snapToGrid w:val="0"/>
          <w:spacing w:val="0"/>
          <w:sz w:val="32"/>
          <w:szCs w:val="32"/>
        </w:rPr>
      </w:pPr>
      <w:r>
        <w:rPr>
          <w:rFonts w:hint="eastAsia" w:ascii="仿宋_GB2312" w:hAnsi="仿宋_GB2312" w:eastAsia="仿宋_GB2312" w:cs="仿宋_GB2312"/>
          <w:color w:val="auto"/>
          <w:spacing w:val="0"/>
          <w:sz w:val="32"/>
          <w:szCs w:val="32"/>
          <w:highlight w:val="none"/>
          <w:lang w:val="en-US" w:eastAsia="zh-CN"/>
        </w:rPr>
        <w:t>优化科技创新服务体系，</w:t>
      </w:r>
      <w:r>
        <w:rPr>
          <w:rFonts w:hint="eastAsia" w:ascii="Calibri" w:hAnsi="Calibri" w:eastAsia="仿宋_GB2312" w:cs="Times New Roman"/>
          <w:i w:val="0"/>
          <w:iCs w:val="0"/>
          <w:caps w:val="0"/>
          <w:snapToGrid w:val="0"/>
          <w:spacing w:val="0"/>
          <w:kern w:val="0"/>
          <w:sz w:val="32"/>
          <w:szCs w:val="32"/>
          <w:shd w:val="clear" w:color="auto" w:fill="auto"/>
          <w:lang w:bidi="ar"/>
        </w:rPr>
        <w:t>一体推进教育发展、科技创新、人才培养</w:t>
      </w:r>
      <w:r>
        <w:rPr>
          <w:rFonts w:hint="eastAsia" w:eastAsia="仿宋_GB2312" w:cs="Times New Roman"/>
          <w:i w:val="0"/>
          <w:iCs w:val="0"/>
          <w:caps w:val="0"/>
          <w:snapToGrid w:val="0"/>
          <w:spacing w:val="0"/>
          <w:kern w:val="0"/>
          <w:sz w:val="32"/>
          <w:szCs w:val="32"/>
          <w:shd w:val="clear" w:color="auto" w:fill="auto"/>
          <w:lang w:eastAsia="zh-CN" w:bidi="ar"/>
        </w:rPr>
        <w:t>，促进创新链产业链资金链人才链深度融合</w:t>
      </w:r>
      <w:r>
        <w:rPr>
          <w:rFonts w:hint="eastAsia" w:eastAsia="仿宋_GB2312"/>
          <w:b w:val="0"/>
          <w:snapToGrid w:val="0"/>
          <w:spacing w:val="0"/>
          <w:sz w:val="32"/>
          <w:szCs w:val="32"/>
          <w:lang w:eastAsia="zh-CN"/>
        </w:rPr>
        <w:t>，</w:t>
      </w:r>
      <w:r>
        <w:rPr>
          <w:rFonts w:hint="eastAsia" w:ascii="仿宋_GB2312" w:hAnsi="仿宋_GB2312" w:eastAsia="仿宋_GB2312" w:cs="仿宋_GB2312"/>
          <w:color w:val="auto"/>
          <w:spacing w:val="0"/>
          <w:sz w:val="32"/>
          <w:szCs w:val="32"/>
          <w:highlight w:val="none"/>
          <w:lang w:val="en-US" w:eastAsia="zh-CN"/>
        </w:rPr>
        <w:t>集聚创新要素，</w:t>
      </w:r>
      <w:r>
        <w:rPr>
          <w:rFonts w:hint="eastAsia" w:eastAsia="仿宋_GB2312"/>
          <w:b w:val="0"/>
          <w:snapToGrid w:val="0"/>
          <w:spacing w:val="0"/>
          <w:sz w:val="32"/>
          <w:szCs w:val="32"/>
          <w:lang w:eastAsia="zh-CN"/>
        </w:rPr>
        <w:t>提升全域创新浓度，</w:t>
      </w:r>
      <w:r>
        <w:rPr>
          <w:rFonts w:hint="eastAsia" w:eastAsia="仿宋_GB2312"/>
          <w:snapToGrid w:val="0"/>
          <w:spacing w:val="0"/>
          <w:sz w:val="32"/>
          <w:szCs w:val="32"/>
        </w:rPr>
        <w:t>催生更多的新产业、新模式、新动能</w:t>
      </w:r>
      <w:r>
        <w:rPr>
          <w:rFonts w:hint="eastAsia" w:eastAsia="仿宋_GB2312"/>
          <w:b w:val="0"/>
          <w:snapToGrid w:val="0"/>
          <w:spacing w:val="0"/>
          <w:sz w:val="32"/>
          <w:szCs w:val="32"/>
        </w:rPr>
        <w:t>。</w:t>
      </w:r>
    </w:p>
    <w:p w14:paraId="55E2639C">
      <w:pPr>
        <w:keepNext w:val="0"/>
        <w:keepLines w:val="0"/>
        <w:pageBreakBefore w:val="0"/>
        <w:widowControl w:val="0"/>
        <w:kinsoku/>
        <w:wordWrap/>
        <w:overflowPunct w:val="0"/>
        <w:topLinePunct/>
        <w:autoSpaceDE/>
        <w:autoSpaceDN/>
        <w:bidi w:val="0"/>
        <w:adjustRightInd/>
        <w:snapToGrid/>
        <w:spacing w:line="560" w:lineRule="exact"/>
        <w:ind w:firstLine="643" w:firstLineChars="200"/>
        <w:jc w:val="both"/>
        <w:textAlignment w:val="auto"/>
        <w:rPr>
          <w:rFonts w:hint="default" w:ascii="仿宋_GB2312" w:hAnsi="仿宋_GB2312" w:eastAsia="仿宋_GB2312" w:cs="仿宋_GB2312"/>
          <w:color w:val="auto"/>
          <w:spacing w:val="0"/>
          <w:kern w:val="2"/>
          <w:sz w:val="32"/>
          <w:szCs w:val="32"/>
          <w:lang w:val="en-US" w:eastAsia="zh-CN" w:bidi="ar-SA"/>
        </w:rPr>
      </w:pPr>
      <w:bookmarkStart w:id="172" w:name="_Toc166226202"/>
      <w:bookmarkStart w:id="173" w:name="_Toc23141"/>
      <w:bookmarkStart w:id="174" w:name="_Toc31280"/>
      <w:bookmarkStart w:id="175" w:name="_Toc523183430"/>
      <w:bookmarkStart w:id="176" w:name="_Toc23766"/>
      <w:r>
        <w:rPr>
          <w:rStyle w:val="46"/>
          <w:rFonts w:hint="eastAsia" w:ascii="仿宋_GB2312" w:hAnsi="仿宋_GB2312" w:eastAsia="仿宋_GB2312" w:cs="仿宋_GB2312"/>
          <w:color w:val="auto"/>
          <w:spacing w:val="0"/>
          <w:sz w:val="32"/>
          <w:szCs w:val="32"/>
          <w:highlight w:val="none"/>
          <w:lang w:val="en-US" w:eastAsia="zh-CN" w:bidi="ar"/>
        </w:rPr>
        <w:t>推进教育科技人才一体发展。</w:t>
      </w:r>
      <w:bookmarkEnd w:id="172"/>
      <w:bookmarkEnd w:id="173"/>
      <w:bookmarkEnd w:id="174"/>
      <w:bookmarkEnd w:id="175"/>
      <w:bookmarkEnd w:id="176"/>
      <w:r>
        <w:rPr>
          <w:rFonts w:hint="eastAsia" w:ascii="仿宋_GB2312" w:hAnsi="仿宋_GB2312" w:eastAsia="仿宋_GB2312" w:cs="仿宋_GB2312"/>
          <w:color w:val="auto"/>
          <w:spacing w:val="0"/>
          <w:sz w:val="32"/>
          <w:szCs w:val="32"/>
          <w:highlight w:val="none"/>
          <w:lang w:val="en-US" w:eastAsia="zh-CN"/>
        </w:rPr>
        <w:t>健全一体推进的协调机制，强化规划衔接、政策协同、资源统筹、评价联动。深化人才体制机制改革，</w:t>
      </w:r>
      <w:r>
        <w:rPr>
          <w:rFonts w:hint="eastAsia" w:ascii="仿宋_GB2312" w:hAnsi="仿宋_GB2312" w:eastAsia="仿宋_GB2312" w:cs="仿宋_GB2312"/>
          <w:color w:val="auto"/>
          <w:spacing w:val="0"/>
          <w:kern w:val="2"/>
          <w:sz w:val="32"/>
          <w:szCs w:val="32"/>
          <w:lang w:val="en-US" w:eastAsia="zh-CN" w:bidi="ar-SA"/>
        </w:rPr>
        <w:t>完善人才政策体系</w:t>
      </w:r>
      <w:r>
        <w:rPr>
          <w:rFonts w:hint="eastAsia" w:ascii="仿宋_GB2312" w:hAnsi="仿宋_GB2312" w:eastAsia="仿宋_GB2312" w:cs="仿宋_GB2312"/>
          <w:color w:val="auto"/>
          <w:spacing w:val="0"/>
          <w:sz w:val="32"/>
          <w:szCs w:val="32"/>
          <w:highlight w:val="none"/>
          <w:lang w:val="en-US" w:eastAsia="zh-CN"/>
        </w:rPr>
        <w:t>。</w:t>
      </w:r>
      <w:r>
        <w:rPr>
          <w:rFonts w:hint="eastAsia" w:ascii="仿宋_GB2312" w:hAnsi="仿宋_GB2312" w:eastAsia="仿宋_GB2312" w:cs="仿宋_GB2312"/>
          <w:b w:val="0"/>
          <w:snapToGrid/>
          <w:color w:val="auto"/>
          <w:spacing w:val="0"/>
          <w:sz w:val="32"/>
          <w:szCs w:val="32"/>
          <w:shd w:val="clear" w:color="auto" w:fill="auto"/>
          <w:lang w:eastAsia="zh-CN"/>
        </w:rPr>
        <w:t>落实苏州“百万人才新增计划”，高质量</w:t>
      </w:r>
      <w:r>
        <w:rPr>
          <w:rFonts w:hint="eastAsia" w:ascii="仿宋_GB2312" w:hAnsi="仿宋_GB2312" w:eastAsia="仿宋_GB2312" w:cs="仿宋_GB2312"/>
          <w:b w:val="0"/>
          <w:snapToGrid/>
          <w:color w:val="auto"/>
          <w:spacing w:val="0"/>
          <w:sz w:val="32"/>
          <w:szCs w:val="32"/>
          <w:shd w:val="clear" w:color="auto" w:fill="auto"/>
        </w:rPr>
        <w:t>办好</w:t>
      </w:r>
      <w:r>
        <w:rPr>
          <w:rFonts w:hint="eastAsia" w:ascii="仿宋_GB2312" w:hAnsi="仿宋_GB2312" w:eastAsia="仿宋_GB2312" w:cs="仿宋_GB2312"/>
          <w:b w:val="0"/>
          <w:snapToGrid/>
          <w:color w:val="auto"/>
          <w:spacing w:val="0"/>
          <w:sz w:val="32"/>
          <w:szCs w:val="32"/>
          <w:shd w:val="clear" w:color="auto" w:fill="auto"/>
          <w:lang w:eastAsia="zh-CN"/>
        </w:rPr>
        <w:t>人才招引</w:t>
      </w:r>
      <w:r>
        <w:rPr>
          <w:rFonts w:hint="eastAsia" w:ascii="仿宋_GB2312" w:hAnsi="仿宋_GB2312" w:eastAsia="仿宋_GB2312" w:cs="仿宋_GB2312"/>
          <w:b w:val="0"/>
          <w:snapToGrid/>
          <w:color w:val="auto"/>
          <w:spacing w:val="0"/>
          <w:sz w:val="32"/>
          <w:szCs w:val="32"/>
          <w:shd w:val="clear" w:color="auto" w:fill="auto"/>
        </w:rPr>
        <w:t>品牌活动</w:t>
      </w:r>
      <w:r>
        <w:rPr>
          <w:rFonts w:hint="eastAsia" w:ascii="仿宋_GB2312" w:hAnsi="仿宋_GB2312" w:eastAsia="仿宋_GB2312" w:cs="仿宋_GB2312"/>
          <w:b w:val="0"/>
          <w:snapToGrid/>
          <w:color w:val="auto"/>
          <w:spacing w:val="0"/>
          <w:sz w:val="32"/>
          <w:szCs w:val="32"/>
          <w:shd w:val="clear" w:color="auto" w:fill="auto"/>
          <w:lang w:eastAsia="zh-CN"/>
        </w:rPr>
        <w:t>，建好校企联盟，用好人才基金，积极</w:t>
      </w:r>
      <w:r>
        <w:rPr>
          <w:rFonts w:hint="eastAsia" w:ascii="仿宋_GB2312" w:hAnsi="仿宋_GB2312" w:eastAsia="仿宋_GB2312" w:cs="仿宋_GB2312"/>
          <w:color w:val="auto"/>
          <w:spacing w:val="0"/>
          <w:sz w:val="32"/>
          <w:szCs w:val="32"/>
        </w:rPr>
        <w:t>引育</w:t>
      </w:r>
      <w:r>
        <w:rPr>
          <w:rFonts w:hint="eastAsia" w:ascii="仿宋_GB2312" w:hAnsi="仿宋_GB2312" w:eastAsia="仿宋_GB2312" w:cs="仿宋_GB2312"/>
          <w:color w:val="auto"/>
          <w:spacing w:val="0"/>
          <w:sz w:val="32"/>
          <w:szCs w:val="32"/>
          <w:lang w:eastAsia="zh-CN"/>
        </w:rPr>
        <w:t>集聚科技领军人才、卓越工程师、高技能人才等各类人才。</w:t>
      </w:r>
      <w:r>
        <w:rPr>
          <w:rFonts w:hint="eastAsia" w:ascii="仿宋_GB2312" w:hAnsi="仿宋_GB2312" w:eastAsia="仿宋_GB2312" w:cs="仿宋_GB2312"/>
          <w:color w:val="auto"/>
          <w:spacing w:val="0"/>
          <w:kern w:val="2"/>
          <w:sz w:val="32"/>
          <w:szCs w:val="32"/>
          <w:lang w:val="en-US" w:eastAsia="zh-CN" w:bidi="ar-SA"/>
        </w:rPr>
        <w:t>优化人才协同创新合作机制，积极</w:t>
      </w:r>
      <w:r>
        <w:rPr>
          <w:rFonts w:hint="eastAsia" w:ascii="仿宋_GB2312" w:hAnsi="仿宋_GB2312" w:eastAsia="仿宋_GB2312" w:cs="仿宋_GB2312"/>
          <w:color w:val="auto"/>
          <w:spacing w:val="0"/>
          <w:sz w:val="32"/>
          <w:szCs w:val="32"/>
        </w:rPr>
        <w:t>打造以顶尖人才为引领的联合攻关项目、创新实验室、企业研究院</w:t>
      </w:r>
      <w:r>
        <w:rPr>
          <w:rFonts w:hint="eastAsia" w:ascii="仿宋_GB2312" w:hAnsi="仿宋_GB2312" w:eastAsia="仿宋_GB2312" w:cs="仿宋_GB2312"/>
          <w:color w:val="auto"/>
          <w:spacing w:val="0"/>
          <w:kern w:val="2"/>
          <w:sz w:val="32"/>
          <w:szCs w:val="32"/>
          <w:lang w:val="en-US" w:eastAsia="zh-CN" w:bidi="ar-SA"/>
        </w:rPr>
        <w:t>。畅通高校、科研院所、企业人才交流通道，推广实施“校企双聘”制度，探索“编制在校、科研在企、三方共赢”的共引</w:t>
      </w:r>
      <w:r>
        <w:rPr>
          <w:rFonts w:hint="eastAsia" w:ascii="仿宋_GB2312" w:hAnsi="仿宋_GB2312" w:eastAsia="仿宋_GB2312" w:cs="仿宋_GB2312"/>
          <w:color w:val="auto"/>
          <w:spacing w:val="0"/>
          <w:kern w:val="2"/>
          <w:sz w:val="32"/>
          <w:szCs w:val="32"/>
          <w:highlight w:val="none"/>
          <w:lang w:val="en-US" w:eastAsia="zh-CN" w:bidi="ar-SA"/>
        </w:rPr>
        <w:t>共用模式和职务科技成果赋能改革。</w:t>
      </w:r>
      <w:r>
        <w:rPr>
          <w:rFonts w:hint="eastAsia" w:ascii="仿宋_GB2312" w:hAnsi="仿宋_GB2312" w:eastAsia="仿宋_GB2312" w:cs="仿宋_GB2312"/>
          <w:color w:val="auto"/>
          <w:spacing w:val="0"/>
          <w:sz w:val="32"/>
          <w:szCs w:val="32"/>
          <w:highlight w:val="none"/>
        </w:rPr>
        <w:t>优化</w:t>
      </w:r>
      <w:r>
        <w:rPr>
          <w:rFonts w:hint="eastAsia" w:ascii="仿宋_GB2312" w:hAnsi="仿宋_GB2312" w:eastAsia="仿宋_GB2312" w:cs="仿宋_GB2312"/>
          <w:color w:val="auto"/>
          <w:spacing w:val="0"/>
          <w:sz w:val="32"/>
          <w:szCs w:val="32"/>
          <w:highlight w:val="none"/>
          <w:lang w:eastAsia="zh-CN"/>
        </w:rPr>
        <w:t>完善</w:t>
      </w:r>
      <w:r>
        <w:rPr>
          <w:rFonts w:hint="eastAsia" w:ascii="仿宋_GB2312" w:hAnsi="仿宋_GB2312" w:eastAsia="仿宋_GB2312" w:cs="仿宋_GB2312"/>
          <w:color w:val="auto"/>
          <w:spacing w:val="0"/>
          <w:sz w:val="32"/>
          <w:szCs w:val="32"/>
          <w:highlight w:val="none"/>
        </w:rPr>
        <w:t>高层次人才一站式服务平台，建设人才友好型城市、青年发展型城市。</w:t>
      </w:r>
      <w:r>
        <w:rPr>
          <w:rFonts w:hint="eastAsia" w:ascii="仿宋_GB2312" w:hAnsi="仿宋_GB2312" w:eastAsia="仿宋_GB2312" w:cs="仿宋_GB2312"/>
          <w:color w:val="auto"/>
          <w:spacing w:val="0"/>
          <w:sz w:val="32"/>
          <w:szCs w:val="32"/>
          <w:highlight w:val="none"/>
          <w:lang w:eastAsia="zh-CN"/>
        </w:rPr>
        <w:t>到</w:t>
      </w:r>
      <w:r>
        <w:rPr>
          <w:rFonts w:hint="eastAsia" w:ascii="仿宋_GB2312" w:hAnsi="仿宋_GB2312" w:eastAsia="仿宋_GB2312" w:cs="仿宋_GB2312"/>
          <w:color w:val="auto"/>
          <w:spacing w:val="0"/>
          <w:sz w:val="32"/>
          <w:szCs w:val="32"/>
          <w:highlight w:val="none"/>
          <w:lang w:val="en-US" w:eastAsia="zh-CN"/>
        </w:rPr>
        <w:t>2030年，引进留学人才超1725人，每万劳动</w:t>
      </w:r>
      <w:r>
        <w:rPr>
          <w:rFonts w:hint="eastAsia" w:ascii="仿宋_GB2312" w:hAnsi="仿宋_GB2312" w:eastAsia="仿宋_GB2312" w:cs="仿宋_GB2312"/>
          <w:color w:val="auto"/>
          <w:spacing w:val="0"/>
          <w:sz w:val="32"/>
          <w:szCs w:val="32"/>
          <w:lang w:val="en-US" w:eastAsia="zh-CN"/>
        </w:rPr>
        <w:t>力中高技能人才数达1750人以上。</w:t>
      </w:r>
    </w:p>
    <w:p w14:paraId="5FA8AD7C">
      <w:pPr>
        <w:keepNext w:val="0"/>
        <w:keepLines w:val="0"/>
        <w:pageBreakBefore w:val="0"/>
        <w:widowControl w:val="0"/>
        <w:numPr>
          <w:ilvl w:val="0"/>
          <w:numId w:val="0"/>
        </w:numPr>
        <w:kinsoku/>
        <w:wordWrap/>
        <w:overflowPunct w:val="0"/>
        <w:topLinePunct/>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spacing w:val="0"/>
          <w:kern w:val="21"/>
          <w:sz w:val="32"/>
          <w:szCs w:val="32"/>
          <w:lang w:bidi="ar"/>
        </w:rPr>
      </w:pPr>
      <w:bookmarkStart w:id="177" w:name="_Toc9161"/>
      <w:bookmarkStart w:id="178" w:name="_Toc14991"/>
      <w:bookmarkStart w:id="179" w:name="_Toc3287"/>
      <w:bookmarkStart w:id="180" w:name="_Toc423118715"/>
      <w:bookmarkStart w:id="181" w:name="_Toc1867740432"/>
      <w:r>
        <w:rPr>
          <w:rStyle w:val="46"/>
          <w:rFonts w:hint="eastAsia" w:ascii="仿宋_GB2312" w:hAnsi="仿宋_GB2312" w:eastAsia="仿宋_GB2312" w:cs="Times New Roman"/>
          <w:b/>
          <w:bCs/>
          <w:spacing w:val="0"/>
          <w:kern w:val="21"/>
          <w:sz w:val="32"/>
          <w:szCs w:val="32"/>
          <w:lang w:eastAsia="zh-CN" w:bidi="ar"/>
        </w:rPr>
        <w:t>营造良好创新氛围</w:t>
      </w:r>
      <w:r>
        <w:rPr>
          <w:rStyle w:val="46"/>
          <w:rFonts w:hint="eastAsia" w:ascii="仿宋_GB2312" w:hAnsi="仿宋_GB2312" w:eastAsia="仿宋_GB2312" w:cs="Times New Roman"/>
          <w:spacing w:val="0"/>
          <w:kern w:val="21"/>
          <w:sz w:val="32"/>
          <w:szCs w:val="32"/>
          <w:lang w:bidi="ar"/>
        </w:rPr>
        <w:t>。</w:t>
      </w:r>
      <w:bookmarkEnd w:id="177"/>
      <w:bookmarkEnd w:id="178"/>
      <w:bookmarkEnd w:id="179"/>
      <w:bookmarkEnd w:id="180"/>
      <w:bookmarkEnd w:id="181"/>
      <w:r>
        <w:rPr>
          <w:rFonts w:hint="eastAsia" w:ascii="仿宋_GB2312" w:hAnsi="仿宋_GB2312" w:eastAsia="仿宋_GB2312" w:cs="仿宋_GB2312"/>
          <w:spacing w:val="0"/>
          <w:kern w:val="21"/>
          <w:sz w:val="32"/>
          <w:szCs w:val="32"/>
          <w:lang w:bidi="ar"/>
        </w:rPr>
        <w:t>完善“人才+项目+基金”全链条创新体系，壮大苏州湾创投壹号入驻基金规模，积极发展科创基金、并购基金，壮大耐心资本，做优科技金融服务。</w:t>
      </w:r>
      <w:r>
        <w:rPr>
          <w:rFonts w:hint="eastAsia" w:ascii="仿宋_GB2312" w:hAnsi="仿宋_GB2312" w:eastAsia="仿宋_GB2312" w:cs="仿宋_GB2312"/>
          <w:spacing w:val="0"/>
          <w:kern w:val="21"/>
          <w:sz w:val="32"/>
          <w:szCs w:val="32"/>
        </w:rPr>
        <w:t>用好科技镇长团等资源，</w:t>
      </w:r>
      <w:r>
        <w:rPr>
          <w:rFonts w:hint="eastAsia" w:ascii="仿宋_GB2312" w:hAnsi="仿宋_GB2312" w:eastAsia="仿宋_GB2312" w:cs="仿宋_GB2312"/>
          <w:spacing w:val="0"/>
          <w:kern w:val="21"/>
          <w:sz w:val="32"/>
          <w:szCs w:val="32"/>
          <w:lang w:bidi="ar"/>
        </w:rPr>
        <w:t>吸引集聚高端创新要素</w:t>
      </w:r>
      <w:r>
        <w:rPr>
          <w:rFonts w:hint="eastAsia" w:ascii="仿宋_GB2312" w:hAnsi="仿宋_GB2312" w:eastAsia="仿宋_GB2312" w:cs="仿宋_GB2312"/>
          <w:spacing w:val="0"/>
          <w:kern w:val="21"/>
          <w:sz w:val="32"/>
          <w:szCs w:val="32"/>
        </w:rPr>
        <w:t>。推动吴江知识产权综合治理体系与产业体系融合创新，促进高价值专利自主培育、高效转化。</w:t>
      </w:r>
      <w:r>
        <w:rPr>
          <w:rFonts w:hint="eastAsia" w:ascii="仿宋_GB2312" w:hAnsi="仿宋_GB2312" w:eastAsia="仿宋_GB2312" w:cs="仿宋_GB2312"/>
          <w:spacing w:val="0"/>
          <w:kern w:val="21"/>
          <w:sz w:val="32"/>
          <w:szCs w:val="32"/>
          <w:lang w:bidi="ar"/>
        </w:rPr>
        <w:t>完善企业破产重整机制，持续开展“与个人破产制度功能相当试点”改革，营造鼓励创新、宽容失败的</w:t>
      </w:r>
      <w:r>
        <w:rPr>
          <w:rFonts w:hint="eastAsia" w:ascii="仿宋_GB2312" w:hAnsi="仿宋_GB2312" w:eastAsia="仿宋_GB2312" w:cs="仿宋_GB2312"/>
          <w:spacing w:val="0"/>
          <w:kern w:val="21"/>
          <w:sz w:val="32"/>
          <w:szCs w:val="32"/>
          <w:lang w:val="en-US" w:eastAsia="zh-CN" w:bidi="ar"/>
        </w:rPr>
        <w:t>创新</w:t>
      </w:r>
      <w:r>
        <w:rPr>
          <w:rFonts w:hint="eastAsia" w:ascii="仿宋_GB2312" w:hAnsi="仿宋_GB2312" w:eastAsia="仿宋_GB2312" w:cs="仿宋_GB2312"/>
          <w:spacing w:val="0"/>
          <w:kern w:val="21"/>
          <w:sz w:val="32"/>
          <w:szCs w:val="32"/>
          <w:lang w:bidi="ar"/>
        </w:rPr>
        <w:t>创业环境。</w:t>
      </w:r>
    </w:p>
    <w:p w14:paraId="7210B2C7">
      <w:pPr>
        <w:keepNext w:val="0"/>
        <w:keepLines w:val="0"/>
        <w:pageBreakBefore w:val="0"/>
        <w:kinsoku/>
        <w:wordWrap/>
        <w:overflowPunct w:val="0"/>
        <w:topLinePunct/>
        <w:autoSpaceDE/>
        <w:autoSpaceDN/>
        <w:bidi w:val="0"/>
        <w:adjustRightInd/>
        <w:spacing w:line="560" w:lineRule="exact"/>
        <w:textAlignment w:val="auto"/>
        <w:rPr>
          <w:rFonts w:ascii="Times New Roman" w:hAnsi="Times New Roman" w:eastAsia="黑体" w:cs="Times New Roman"/>
          <w:b/>
          <w:bCs/>
          <w:spacing w:val="0"/>
          <w:kern w:val="21"/>
          <w:sz w:val="32"/>
          <w:szCs w:val="32"/>
        </w:rPr>
      </w:pPr>
    </w:p>
    <w:p w14:paraId="5538C48A">
      <w:pPr>
        <w:keepNext w:val="0"/>
        <w:keepLines w:val="0"/>
        <w:pageBreakBefore w:val="0"/>
        <w:kinsoku/>
        <w:wordWrap/>
        <w:overflowPunct w:val="0"/>
        <w:topLinePunct/>
        <w:autoSpaceDE/>
        <w:autoSpaceDN/>
        <w:bidi w:val="0"/>
        <w:adjustRightInd/>
        <w:spacing w:line="560" w:lineRule="exact"/>
        <w:textAlignment w:val="auto"/>
        <w:rPr>
          <w:rFonts w:ascii="Times New Roman" w:hAnsi="Times New Roman" w:eastAsia="黑体" w:cs="Times New Roman"/>
          <w:b/>
          <w:bCs/>
          <w:spacing w:val="0"/>
          <w:kern w:val="21"/>
          <w:sz w:val="32"/>
          <w:szCs w:val="32"/>
        </w:rPr>
        <w:sectPr>
          <w:footerReference r:id="rId4" w:type="default"/>
          <w:pgSz w:w="11906" w:h="16838"/>
          <w:pgMar w:top="1928" w:right="1531" w:bottom="1701" w:left="1531" w:header="0" w:footer="992" w:gutter="0"/>
          <w:pgNumType w:fmt="decimal" w:start="1"/>
          <w:cols w:space="0" w:num="1"/>
          <w:rtlGutter w:val="0"/>
          <w:docGrid w:type="lines" w:linePitch="312" w:charSpace="0"/>
        </w:sectPr>
      </w:pPr>
    </w:p>
    <w:p w14:paraId="50F3B217">
      <w:pPr>
        <w:pStyle w:val="2"/>
        <w:keepNext w:val="0"/>
        <w:keepLines w:val="0"/>
        <w:pageBreakBefore w:val="0"/>
        <w:kinsoku/>
        <w:wordWrap/>
        <w:overflowPunct w:val="0"/>
        <w:topLinePunct/>
        <w:autoSpaceDE/>
        <w:autoSpaceDN/>
        <w:bidi w:val="0"/>
        <w:adjustRightInd/>
        <w:spacing w:line="560" w:lineRule="exact"/>
        <w:textAlignment w:val="auto"/>
        <w:rPr>
          <w:rFonts w:ascii="Calibri" w:hAnsi="Calibri"/>
          <w:spacing w:val="-11"/>
          <w:kern w:val="21"/>
          <w:sz w:val="32"/>
        </w:rPr>
      </w:pPr>
      <w:bookmarkStart w:id="182" w:name="_Toc15011"/>
      <w:bookmarkStart w:id="183" w:name="_Toc653253519"/>
      <w:bookmarkStart w:id="184" w:name="_Toc30576"/>
      <w:bookmarkStart w:id="185" w:name="_Toc12716"/>
      <w:bookmarkStart w:id="186" w:name="_Toc2040615790"/>
      <w:r>
        <w:rPr>
          <w:rFonts w:hint="default" w:ascii="Calibri" w:hAnsi="Calibri"/>
          <w:spacing w:val="-11"/>
          <w:kern w:val="21"/>
          <w:sz w:val="32"/>
        </w:rPr>
        <w:t>第</w:t>
      </w:r>
      <w:r>
        <w:rPr>
          <w:rFonts w:hint="default" w:ascii="Calibri" w:hAnsi="Calibri"/>
          <w:spacing w:val="-11"/>
          <w:kern w:val="21"/>
          <w:sz w:val="32"/>
          <w:lang w:eastAsia="zh-CN"/>
        </w:rPr>
        <w:t>五</w:t>
      </w:r>
      <w:r>
        <w:rPr>
          <w:rFonts w:hint="default" w:ascii="Calibri" w:hAnsi="Calibri"/>
          <w:spacing w:val="-11"/>
          <w:kern w:val="21"/>
          <w:sz w:val="32"/>
        </w:rPr>
        <w:t xml:space="preserve">章  </w:t>
      </w:r>
      <w:r>
        <w:rPr>
          <w:rFonts w:hint="default" w:ascii="Calibri" w:hAnsi="Calibri"/>
          <w:spacing w:val="-11"/>
          <w:kern w:val="21"/>
          <w:sz w:val="32"/>
          <w:lang w:val="en-US" w:eastAsia="zh-CN"/>
        </w:rPr>
        <w:t>深入践行</w:t>
      </w:r>
      <w:r>
        <w:rPr>
          <w:rFonts w:hint="default" w:ascii="Calibri" w:hAnsi="Calibri"/>
          <w:spacing w:val="-11"/>
          <w:kern w:val="21"/>
          <w:sz w:val="32"/>
        </w:rPr>
        <w:t>长三角一体化发展国家战略，推动</w:t>
      </w:r>
      <w:r>
        <w:rPr>
          <w:rFonts w:hint="default" w:ascii="Calibri" w:hAnsi="Calibri"/>
          <w:spacing w:val="-11"/>
          <w:kern w:val="21"/>
          <w:sz w:val="32"/>
          <w:lang w:eastAsia="zh-CN"/>
        </w:rPr>
        <w:t>区域</w:t>
      </w:r>
      <w:r>
        <w:rPr>
          <w:rFonts w:hint="default" w:ascii="Calibri" w:hAnsi="Calibri"/>
          <w:spacing w:val="-11"/>
          <w:kern w:val="21"/>
          <w:sz w:val="32"/>
        </w:rPr>
        <w:t>功能跃升</w:t>
      </w:r>
      <w:bookmarkEnd w:id="182"/>
      <w:bookmarkEnd w:id="183"/>
      <w:bookmarkEnd w:id="184"/>
      <w:bookmarkEnd w:id="185"/>
      <w:bookmarkEnd w:id="186"/>
    </w:p>
    <w:p w14:paraId="0814B63A">
      <w:pPr>
        <w:keepNext w:val="0"/>
        <w:keepLines w:val="0"/>
        <w:pageBreakBefore w:val="0"/>
        <w:kinsoku/>
        <w:wordWrap/>
        <w:overflowPunct w:val="0"/>
        <w:topLinePunct/>
        <w:autoSpaceDE/>
        <w:autoSpaceDN/>
        <w:bidi w:val="0"/>
        <w:adjustRightInd/>
        <w:spacing w:line="560" w:lineRule="exact"/>
        <w:ind w:firstLine="640" w:firstLineChars="200"/>
        <w:textAlignment w:val="auto"/>
        <w:rPr>
          <w:rFonts w:hint="eastAsia" w:ascii="Times New Roman" w:hAnsi="Times New Roman" w:eastAsia="仿宋_GB2312" w:cs="Times New Roman"/>
          <w:spacing w:val="0"/>
          <w:kern w:val="21"/>
          <w:sz w:val="32"/>
          <w:szCs w:val="32"/>
          <w:lang w:bidi="ar"/>
        </w:rPr>
      </w:pPr>
    </w:p>
    <w:p w14:paraId="53BC287C">
      <w:pPr>
        <w:keepNext w:val="0"/>
        <w:keepLines w:val="0"/>
        <w:pageBreakBefore w:val="0"/>
        <w:kinsoku/>
        <w:wordWrap/>
        <w:overflowPunct w:val="0"/>
        <w:topLinePunct/>
        <w:autoSpaceDE/>
        <w:autoSpaceDN/>
        <w:bidi w:val="0"/>
        <w:adjustRightInd/>
        <w:spacing w:line="560" w:lineRule="exact"/>
        <w:ind w:firstLine="640" w:firstLineChars="200"/>
        <w:textAlignment w:val="auto"/>
        <w:rPr>
          <w:rFonts w:ascii="Times New Roman" w:hAnsi="Times New Roman" w:eastAsia="仿宋_GB2312" w:cs="Times New Roman"/>
          <w:spacing w:val="0"/>
          <w:kern w:val="21"/>
          <w:sz w:val="32"/>
          <w:szCs w:val="32"/>
          <w:lang w:bidi="ar"/>
        </w:rPr>
      </w:pPr>
      <w:r>
        <w:rPr>
          <w:rFonts w:ascii="Times New Roman" w:hAnsi="Times New Roman" w:eastAsia="仿宋_GB2312" w:cs="Times New Roman"/>
          <w:spacing w:val="0"/>
          <w:kern w:val="21"/>
          <w:sz w:val="32"/>
          <w:szCs w:val="32"/>
          <w:lang w:bidi="ar"/>
        </w:rPr>
        <w:t>紧扣</w:t>
      </w:r>
      <w:r>
        <w:rPr>
          <w:rFonts w:hint="eastAsia" w:ascii="Times New Roman" w:hAnsi="Times New Roman" w:eastAsia="仿宋_GB2312" w:cs="Times New Roman"/>
          <w:spacing w:val="0"/>
          <w:kern w:val="21"/>
          <w:sz w:val="32"/>
          <w:szCs w:val="32"/>
          <w:lang w:eastAsia="zh-CN" w:bidi="ar"/>
        </w:rPr>
        <w:t>“</w:t>
      </w:r>
      <w:r>
        <w:rPr>
          <w:rFonts w:ascii="Times New Roman" w:hAnsi="Times New Roman" w:eastAsia="仿宋_GB2312" w:cs="Times New Roman"/>
          <w:spacing w:val="0"/>
          <w:kern w:val="21"/>
          <w:sz w:val="32"/>
          <w:szCs w:val="32"/>
          <w:lang w:bidi="ar"/>
        </w:rPr>
        <w:t>一田三新</w:t>
      </w:r>
      <w:r>
        <w:rPr>
          <w:rFonts w:hint="eastAsia" w:ascii="Times New Roman" w:hAnsi="Times New Roman" w:eastAsia="仿宋_GB2312" w:cs="Times New Roman"/>
          <w:spacing w:val="0"/>
          <w:kern w:val="21"/>
          <w:sz w:val="32"/>
          <w:szCs w:val="32"/>
          <w:lang w:eastAsia="zh-CN" w:bidi="ar"/>
        </w:rPr>
        <w:t>”</w:t>
      </w:r>
      <w:r>
        <w:rPr>
          <w:rFonts w:ascii="Times New Roman" w:hAnsi="Times New Roman" w:eastAsia="仿宋_GB2312" w:cs="Times New Roman"/>
          <w:spacing w:val="0"/>
          <w:kern w:val="21"/>
          <w:sz w:val="32"/>
          <w:szCs w:val="32"/>
          <w:lang w:bidi="ar"/>
        </w:rPr>
        <w:t>战略定位，对标国际一流标准、国内最好水平，以制度创新和项目建设双轮驱动，</w:t>
      </w:r>
      <w:r>
        <w:rPr>
          <w:rFonts w:hint="eastAsia" w:ascii="仿宋_GB2312" w:hAnsi="仿宋_GB2312" w:eastAsia="仿宋_GB2312" w:cs="仿宋_GB2312"/>
          <w:color w:val="auto"/>
          <w:sz w:val="32"/>
          <w:szCs w:val="32"/>
          <w:lang w:val="en-US" w:eastAsia="zh-CN"/>
        </w:rPr>
        <w:t>落实</w:t>
      </w:r>
      <w:r>
        <w:rPr>
          <w:rFonts w:hint="eastAsia" w:ascii="仿宋_GB2312" w:hAnsi="仿宋_GB2312" w:eastAsia="仿宋_GB2312" w:cs="仿宋_GB2312"/>
          <w:sz w:val="32"/>
          <w:szCs w:val="32"/>
        </w:rPr>
        <w:t>苏州区域联动深化工程</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主动服务上海发挥龙头作用，</w:t>
      </w:r>
      <w:r>
        <w:rPr>
          <w:rFonts w:ascii="Times New Roman" w:hAnsi="Times New Roman" w:eastAsia="仿宋_GB2312" w:cs="Times New Roman"/>
          <w:spacing w:val="0"/>
          <w:kern w:val="21"/>
          <w:sz w:val="32"/>
          <w:szCs w:val="32"/>
          <w:lang w:bidi="ar"/>
        </w:rPr>
        <w:t>推动示范区从形态开发向功能开发跃升，</w:t>
      </w:r>
      <w:r>
        <w:rPr>
          <w:rFonts w:hint="eastAsia" w:ascii="Times New Roman" w:hAnsi="Times New Roman" w:eastAsia="仿宋_GB2312" w:cs="Times New Roman"/>
          <w:spacing w:val="0"/>
          <w:kern w:val="21"/>
          <w:sz w:val="32"/>
          <w:szCs w:val="32"/>
          <w:lang w:bidi="ar"/>
        </w:rPr>
        <w:t>更好发挥先行探路、引领示范、辐射带动作用，</w:t>
      </w:r>
      <w:r>
        <w:rPr>
          <w:rFonts w:ascii="Times New Roman" w:hAnsi="Times New Roman" w:eastAsia="仿宋_GB2312" w:cs="Times New Roman"/>
          <w:spacing w:val="0"/>
          <w:kern w:val="21"/>
          <w:sz w:val="32"/>
          <w:szCs w:val="32"/>
          <w:lang w:bidi="ar"/>
        </w:rPr>
        <w:t>全力当好国家战略示范窗口。</w:t>
      </w:r>
    </w:p>
    <w:p w14:paraId="3D7A87B4">
      <w:pPr>
        <w:pStyle w:val="3"/>
        <w:keepNext w:val="0"/>
        <w:keepLines w:val="0"/>
        <w:pageBreakBefore w:val="0"/>
        <w:kinsoku/>
        <w:wordWrap/>
        <w:overflowPunct w:val="0"/>
        <w:topLinePunct/>
        <w:autoSpaceDE/>
        <w:autoSpaceDN/>
        <w:bidi w:val="0"/>
        <w:adjustRightInd/>
        <w:spacing w:before="156" w:after="156" w:line="560" w:lineRule="exact"/>
        <w:textAlignment w:val="auto"/>
        <w:rPr>
          <w:rFonts w:ascii="楷体_GB2312" w:hAnsi="楷体_GB2312" w:eastAsia="楷体_GB2312" w:cs="楷体_GB2312"/>
          <w:spacing w:val="0"/>
          <w:kern w:val="21"/>
          <w:sz w:val="32"/>
        </w:rPr>
      </w:pPr>
      <w:bookmarkStart w:id="187" w:name="_Toc908175329"/>
      <w:bookmarkStart w:id="188" w:name="_Toc31238"/>
      <w:bookmarkStart w:id="189" w:name="_Toc22762"/>
      <w:bookmarkStart w:id="190" w:name="_Toc15772"/>
      <w:bookmarkStart w:id="191" w:name="_Toc1177913078"/>
      <w:bookmarkStart w:id="192" w:name="_Toc383"/>
      <w:bookmarkStart w:id="193" w:name="_Toc5755"/>
      <w:bookmarkStart w:id="194" w:name="_Toc20775"/>
      <w:bookmarkStart w:id="195" w:name="_Toc9312"/>
      <w:bookmarkStart w:id="196" w:name="_Toc2080263827"/>
      <w:r>
        <w:rPr>
          <w:rFonts w:ascii="楷体_GB2312" w:hAnsi="楷体_GB2312" w:eastAsia="楷体_GB2312" w:cs="楷体_GB2312"/>
          <w:spacing w:val="0"/>
          <w:kern w:val="21"/>
          <w:sz w:val="32"/>
        </w:rPr>
        <w:t xml:space="preserve">第一节 </w:t>
      </w:r>
      <w:r>
        <w:rPr>
          <w:rFonts w:hint="eastAsia" w:ascii="楷体_GB2312" w:hAnsi="楷体_GB2312" w:eastAsia="楷体_GB2312" w:cs="楷体_GB2312"/>
          <w:spacing w:val="0"/>
          <w:kern w:val="21"/>
          <w:sz w:val="32"/>
          <w:lang w:val="en-US" w:eastAsia="zh-CN"/>
        </w:rPr>
        <w:t xml:space="preserve"> </w:t>
      </w:r>
      <w:r>
        <w:rPr>
          <w:rFonts w:ascii="楷体_GB2312" w:hAnsi="楷体_GB2312" w:eastAsia="楷体_GB2312" w:cs="楷体_GB2312"/>
          <w:spacing w:val="0"/>
          <w:kern w:val="21"/>
          <w:sz w:val="32"/>
        </w:rPr>
        <w:t>提升先行启动区</w:t>
      </w:r>
      <w:bookmarkEnd w:id="187"/>
      <w:r>
        <w:rPr>
          <w:rFonts w:ascii="楷体_GB2312" w:hAnsi="楷体_GB2312" w:eastAsia="楷体_GB2312" w:cs="楷体_GB2312"/>
          <w:spacing w:val="0"/>
          <w:kern w:val="21"/>
          <w:sz w:val="32"/>
        </w:rPr>
        <w:t>显示度</w:t>
      </w:r>
      <w:bookmarkEnd w:id="188"/>
      <w:bookmarkEnd w:id="189"/>
      <w:bookmarkEnd w:id="190"/>
      <w:bookmarkEnd w:id="191"/>
      <w:bookmarkEnd w:id="192"/>
      <w:bookmarkEnd w:id="193"/>
      <w:bookmarkEnd w:id="194"/>
      <w:bookmarkEnd w:id="195"/>
      <w:bookmarkEnd w:id="196"/>
    </w:p>
    <w:p w14:paraId="3E5CF0A5">
      <w:pPr>
        <w:keepNext w:val="0"/>
        <w:keepLines w:val="0"/>
        <w:pageBreakBefore w:val="0"/>
        <w:kinsoku/>
        <w:wordWrap/>
        <w:overflowPunct w:val="0"/>
        <w:topLinePunct/>
        <w:autoSpaceDE/>
        <w:autoSpaceDN/>
        <w:bidi w:val="0"/>
        <w:adjustRightInd/>
        <w:spacing w:line="560" w:lineRule="exact"/>
        <w:ind w:firstLine="640" w:firstLineChars="200"/>
        <w:textAlignment w:val="auto"/>
        <w:rPr>
          <w:rFonts w:hint="eastAsia" w:ascii="仿宋_GB2312" w:hAnsi="仿宋_GB2312" w:eastAsia="仿宋_GB2312" w:cs="仿宋_GB2312"/>
          <w:spacing w:val="0"/>
          <w:kern w:val="21"/>
          <w:sz w:val="32"/>
          <w:szCs w:val="32"/>
          <w:highlight w:val="none"/>
          <w:lang w:bidi="ar"/>
        </w:rPr>
      </w:pPr>
      <w:r>
        <w:rPr>
          <w:rFonts w:hint="eastAsia" w:ascii="仿宋_GB2312" w:hAnsi="仿宋_GB2312" w:eastAsia="仿宋_GB2312" w:cs="仿宋_GB2312"/>
          <w:spacing w:val="0"/>
          <w:kern w:val="21"/>
          <w:sz w:val="32"/>
          <w:szCs w:val="32"/>
          <w:lang w:bidi="ar"/>
        </w:rPr>
        <w:t>扛起国家战略重任，加快布产业、聚人气、出形象，</w:t>
      </w:r>
      <w:r>
        <w:rPr>
          <w:rFonts w:hint="eastAsia" w:ascii="仿宋_GB2312" w:hAnsi="仿宋_GB2312" w:eastAsia="仿宋_GB2312" w:cs="仿宋_GB2312"/>
          <w:spacing w:val="0"/>
          <w:kern w:val="21"/>
          <w:sz w:val="32"/>
          <w:szCs w:val="32"/>
          <w:lang w:eastAsia="zh-CN" w:bidi="ar"/>
        </w:rPr>
        <w:t>突出“一厅一片”建设，</w:t>
      </w:r>
      <w:r>
        <w:rPr>
          <w:rFonts w:hint="eastAsia" w:ascii="仿宋_GB2312" w:hAnsi="仿宋_GB2312" w:eastAsia="仿宋_GB2312" w:cs="仿宋_GB2312"/>
          <w:spacing w:val="0"/>
          <w:kern w:val="21"/>
          <w:sz w:val="32"/>
          <w:szCs w:val="32"/>
          <w:lang w:bidi="ar"/>
        </w:rPr>
        <w:t>构建“空</w:t>
      </w:r>
      <w:r>
        <w:rPr>
          <w:rFonts w:hint="eastAsia" w:ascii="仿宋_GB2312" w:hAnsi="仿宋_GB2312" w:eastAsia="仿宋_GB2312" w:cs="仿宋_GB2312"/>
          <w:spacing w:val="0"/>
          <w:kern w:val="21"/>
          <w:sz w:val="32"/>
          <w:szCs w:val="32"/>
          <w:highlight w:val="none"/>
          <w:lang w:bidi="ar"/>
        </w:rPr>
        <w:t>间复合渗透、人文创新融合、立体网络支撑”的功能布局，打造生态绿色高质量发展的标杆地、跨区域一体化发展的试验地、新江南水乡高品质生活的典范地。</w:t>
      </w:r>
      <w:bookmarkStart w:id="197" w:name="_Toc15425"/>
      <w:bookmarkStart w:id="198" w:name="_Toc1955121656"/>
      <w:bookmarkStart w:id="199" w:name="_Toc1647480984"/>
      <w:bookmarkStart w:id="200" w:name="_Toc30173"/>
    </w:p>
    <w:p w14:paraId="21C03AD4">
      <w:pPr>
        <w:keepNext w:val="0"/>
        <w:keepLines w:val="0"/>
        <w:pageBreakBefore w:val="0"/>
        <w:kinsoku/>
        <w:wordWrap/>
        <w:overflowPunct w:val="0"/>
        <w:topLinePunct/>
        <w:autoSpaceDE/>
        <w:autoSpaceDN/>
        <w:bidi w:val="0"/>
        <w:adjustRightInd/>
        <w:spacing w:line="560" w:lineRule="exact"/>
        <w:ind w:firstLine="643" w:firstLineChars="200"/>
        <w:textAlignment w:val="auto"/>
        <w:rPr>
          <w:rFonts w:hint="eastAsia" w:ascii="仿宋_GB2312" w:hAnsi="仿宋_GB2312" w:eastAsia="仿宋_GB2312" w:cs="仿宋_GB2312"/>
          <w:spacing w:val="0"/>
          <w:kern w:val="21"/>
          <w:sz w:val="32"/>
          <w:szCs w:val="32"/>
          <w:highlight w:val="none"/>
          <w:lang w:eastAsia="zh-CN"/>
        </w:rPr>
      </w:pPr>
      <w:bookmarkStart w:id="201" w:name="_Toc22683"/>
      <w:r>
        <w:rPr>
          <w:rStyle w:val="46"/>
          <w:rFonts w:hint="eastAsia" w:ascii="仿宋_GB2312" w:hAnsi="仿宋_GB2312" w:eastAsia="仿宋_GB2312" w:cs="Times New Roman"/>
          <w:b/>
          <w:bCs/>
          <w:spacing w:val="0"/>
          <w:kern w:val="21"/>
          <w:sz w:val="32"/>
          <w:szCs w:val="32"/>
          <w:highlight w:val="none"/>
          <w:lang w:eastAsia="zh-CN"/>
        </w:rPr>
        <w:t>高站位推动</w:t>
      </w:r>
      <w:bookmarkEnd w:id="197"/>
      <w:bookmarkEnd w:id="198"/>
      <w:bookmarkEnd w:id="199"/>
      <w:r>
        <w:rPr>
          <w:rStyle w:val="46"/>
          <w:rFonts w:hint="eastAsia" w:ascii="仿宋_GB2312" w:hAnsi="仿宋_GB2312" w:eastAsia="仿宋_GB2312" w:cs="Times New Roman"/>
          <w:b/>
          <w:bCs/>
          <w:spacing w:val="0"/>
          <w:kern w:val="21"/>
          <w:sz w:val="32"/>
          <w:szCs w:val="32"/>
          <w:highlight w:val="none"/>
          <w:lang w:eastAsia="zh-CN"/>
        </w:rPr>
        <w:t>跨域协同创新引领</w:t>
      </w:r>
      <w:bookmarkEnd w:id="200"/>
      <w:bookmarkEnd w:id="201"/>
      <w:r>
        <w:rPr>
          <w:rFonts w:hint="eastAsia" w:ascii="仿宋_GB2312" w:hAnsi="仿宋_GB2312" w:eastAsia="仿宋_GB2312" w:cs="仿宋_GB2312"/>
          <w:b/>
          <w:bCs/>
          <w:spacing w:val="0"/>
          <w:kern w:val="21"/>
          <w:sz w:val="32"/>
          <w:szCs w:val="32"/>
          <w:highlight w:val="none"/>
        </w:rPr>
        <w:t>。</w:t>
      </w:r>
      <w:r>
        <w:rPr>
          <w:rFonts w:hint="eastAsia" w:ascii="仿宋_GB2312" w:hAnsi="仿宋_GB2312" w:eastAsia="仿宋_GB2312" w:cs="仿宋_GB2312"/>
          <w:spacing w:val="0"/>
          <w:kern w:val="21"/>
          <w:sz w:val="32"/>
          <w:szCs w:val="32"/>
          <w:highlight w:val="none"/>
          <w:lang w:eastAsia="zh-CN"/>
        </w:rPr>
        <w:t>凸显沪苏同城桥头堡发展优势，</w:t>
      </w:r>
      <w:r>
        <w:rPr>
          <w:rFonts w:hint="eastAsia" w:ascii="仿宋_GB2312" w:hAnsi="仿宋_GB2312" w:eastAsia="仿宋_GB2312" w:cs="仿宋_GB2312"/>
          <w:spacing w:val="0"/>
          <w:kern w:val="21"/>
          <w:sz w:val="32"/>
          <w:szCs w:val="32"/>
          <w:highlight w:val="none"/>
        </w:rPr>
        <w:t>把握产业科技创新主攻方向，完善科技创新、交通枢纽、配套居住等生产生活功能，导入更多创新载体和高端要素，促进创新要素跨界融合流动和孵化转化，高水平共建长三角青吴嘉高新区，构筑产业链创新链协同发展新格局。</w:t>
      </w:r>
    </w:p>
    <w:p w14:paraId="5B441DAA">
      <w:pPr>
        <w:keepNext w:val="0"/>
        <w:keepLines w:val="0"/>
        <w:pageBreakBefore w:val="0"/>
        <w:kinsoku/>
        <w:wordWrap/>
        <w:overflowPunct w:val="0"/>
        <w:topLinePunct/>
        <w:autoSpaceDE/>
        <w:autoSpaceDN/>
        <w:bidi w:val="0"/>
        <w:adjustRightInd/>
        <w:spacing w:line="560" w:lineRule="exact"/>
        <w:ind w:firstLine="643" w:firstLineChars="200"/>
        <w:textAlignment w:val="auto"/>
        <w:rPr>
          <w:rFonts w:hint="eastAsia" w:ascii="仿宋_GB2312" w:hAnsi="仿宋_GB2312" w:eastAsia="仿宋_GB2312" w:cs="仿宋_GB2312"/>
          <w:spacing w:val="0"/>
          <w:kern w:val="21"/>
          <w:sz w:val="32"/>
          <w:szCs w:val="32"/>
        </w:rPr>
      </w:pPr>
      <w:bookmarkStart w:id="202" w:name="_Toc26941"/>
      <w:bookmarkStart w:id="203" w:name="_Toc11460"/>
      <w:bookmarkStart w:id="204" w:name="_Toc1226197706"/>
      <w:bookmarkStart w:id="205" w:name="_Toc30757"/>
      <w:bookmarkStart w:id="206" w:name="_Toc54179383"/>
      <w:r>
        <w:rPr>
          <w:rStyle w:val="46"/>
          <w:rFonts w:hint="eastAsia" w:ascii="仿宋_GB2312" w:hAnsi="仿宋_GB2312" w:eastAsia="仿宋_GB2312" w:cs="Times New Roman"/>
          <w:b/>
          <w:bCs/>
          <w:spacing w:val="0"/>
          <w:kern w:val="21"/>
          <w:sz w:val="32"/>
          <w:szCs w:val="32"/>
          <w:highlight w:val="none"/>
        </w:rPr>
        <w:t>高标准建设苏州南站科创中心</w:t>
      </w:r>
      <w:bookmarkEnd w:id="202"/>
      <w:bookmarkEnd w:id="203"/>
      <w:bookmarkEnd w:id="204"/>
      <w:bookmarkEnd w:id="205"/>
      <w:bookmarkEnd w:id="206"/>
      <w:r>
        <w:rPr>
          <w:rFonts w:hint="eastAsia" w:ascii="仿宋_GB2312" w:hAnsi="仿宋_GB2312" w:eastAsia="仿宋_GB2312" w:cs="仿宋_GB2312"/>
          <w:b/>
          <w:bCs/>
          <w:spacing w:val="0"/>
          <w:kern w:val="21"/>
          <w:sz w:val="32"/>
          <w:szCs w:val="32"/>
          <w:highlight w:val="none"/>
        </w:rPr>
        <w:t>。</w:t>
      </w:r>
      <w:r>
        <w:rPr>
          <w:rFonts w:hint="eastAsia" w:ascii="仿宋_GB2312" w:hAnsi="仿宋_GB2312" w:eastAsia="仿宋_GB2312" w:cs="仿宋_GB2312"/>
          <w:spacing w:val="0"/>
          <w:kern w:val="21"/>
          <w:sz w:val="32"/>
          <w:szCs w:val="32"/>
          <w:highlight w:val="none"/>
        </w:rPr>
        <w:t>以“站城融合”理念，集中</w:t>
      </w:r>
      <w:r>
        <w:rPr>
          <w:rFonts w:hint="eastAsia" w:ascii="仿宋_GB2312" w:hAnsi="仿宋_GB2312" w:eastAsia="仿宋_GB2312" w:cs="仿宋_GB2312"/>
          <w:spacing w:val="0"/>
          <w:kern w:val="21"/>
          <w:sz w:val="32"/>
          <w:szCs w:val="32"/>
        </w:rPr>
        <w:t>力量推进基础设施建设、产业导入、业态提升，全力建设“人工智能+”先导区和示范区门户枢纽，形成一个展现枢纽经济特征、集聚科创产业、具有现代风尚、人文生态相融的特色功能区。</w:t>
      </w:r>
    </w:p>
    <w:p w14:paraId="0B84DD4D">
      <w:pPr>
        <w:keepNext w:val="0"/>
        <w:keepLines w:val="0"/>
        <w:pageBreakBefore w:val="0"/>
        <w:kinsoku/>
        <w:wordWrap/>
        <w:overflowPunct w:val="0"/>
        <w:topLinePunct/>
        <w:autoSpaceDE/>
        <w:autoSpaceDN/>
        <w:bidi w:val="0"/>
        <w:adjustRightInd/>
        <w:spacing w:line="560" w:lineRule="exact"/>
        <w:ind w:firstLine="643" w:firstLineChars="200"/>
        <w:textAlignment w:val="auto"/>
        <w:rPr>
          <w:rFonts w:hint="eastAsia" w:ascii="仿宋_GB2312" w:hAnsi="仿宋_GB2312" w:eastAsia="仿宋_GB2312" w:cs="仿宋_GB2312"/>
          <w:spacing w:val="0"/>
          <w:kern w:val="21"/>
          <w:sz w:val="32"/>
          <w:szCs w:val="32"/>
        </w:rPr>
      </w:pPr>
      <w:bookmarkStart w:id="207" w:name="_Toc23582"/>
      <w:bookmarkStart w:id="208" w:name="_Toc1771939257"/>
      <w:bookmarkStart w:id="209" w:name="_Toc29041"/>
      <w:bookmarkStart w:id="210" w:name="_Toc17764"/>
      <w:bookmarkStart w:id="211" w:name="_Toc210465285"/>
      <w:r>
        <w:rPr>
          <w:rStyle w:val="46"/>
          <w:rFonts w:hint="eastAsia" w:ascii="仿宋_GB2312" w:hAnsi="仿宋_GB2312" w:eastAsia="仿宋_GB2312" w:cs="Times New Roman"/>
          <w:b/>
          <w:bCs/>
          <w:spacing w:val="0"/>
          <w:kern w:val="21"/>
          <w:sz w:val="32"/>
          <w:szCs w:val="32"/>
        </w:rPr>
        <w:t>高水平</w:t>
      </w:r>
      <w:r>
        <w:rPr>
          <w:rStyle w:val="46"/>
          <w:rFonts w:hint="eastAsia" w:ascii="仿宋_GB2312" w:hAnsi="仿宋_GB2312" w:eastAsia="仿宋_GB2312" w:cs="Times New Roman"/>
          <w:b/>
          <w:bCs/>
          <w:spacing w:val="0"/>
          <w:kern w:val="21"/>
          <w:sz w:val="32"/>
          <w:szCs w:val="32"/>
          <w:lang w:val="en-US" w:eastAsia="zh-CN"/>
        </w:rPr>
        <w:t>共建</w:t>
      </w:r>
      <w:r>
        <w:rPr>
          <w:rStyle w:val="46"/>
          <w:rFonts w:hint="eastAsia" w:ascii="仿宋_GB2312" w:hAnsi="仿宋_GB2312" w:eastAsia="仿宋_GB2312" w:cs="Times New Roman"/>
          <w:b/>
          <w:bCs/>
          <w:spacing w:val="0"/>
          <w:kern w:val="21"/>
          <w:sz w:val="32"/>
          <w:szCs w:val="32"/>
        </w:rPr>
        <w:t>水乡客厅。</w:t>
      </w:r>
      <w:bookmarkEnd w:id="207"/>
      <w:bookmarkEnd w:id="208"/>
      <w:bookmarkEnd w:id="209"/>
      <w:bookmarkEnd w:id="210"/>
      <w:bookmarkEnd w:id="211"/>
      <w:r>
        <w:rPr>
          <w:rFonts w:hint="eastAsia" w:ascii="仿宋_GB2312" w:hAnsi="仿宋_GB2312" w:eastAsia="仿宋_GB2312" w:cs="仿宋_GB2312"/>
          <w:spacing w:val="0"/>
          <w:kern w:val="21"/>
          <w:sz w:val="32"/>
          <w:szCs w:val="32"/>
        </w:rPr>
        <w:t>推动生态筑基、创新强核、文化注魂，加快推进科创学园、桑基鱼塘、生态蓝环</w:t>
      </w:r>
      <w:r>
        <w:rPr>
          <w:rFonts w:hint="eastAsia" w:ascii="仿宋_GB2312" w:hAnsi="仿宋_GB2312" w:eastAsia="仿宋_GB2312" w:cs="仿宋_GB2312"/>
          <w:spacing w:val="0"/>
          <w:kern w:val="21"/>
          <w:sz w:val="32"/>
          <w:szCs w:val="32"/>
          <w:lang w:eastAsia="zh-CN"/>
        </w:rPr>
        <w:t>、科普村、创新村</w:t>
      </w:r>
      <w:r>
        <w:rPr>
          <w:rFonts w:hint="eastAsia" w:ascii="仿宋_GB2312" w:hAnsi="仿宋_GB2312" w:eastAsia="仿宋_GB2312" w:cs="仿宋_GB2312"/>
          <w:spacing w:val="0"/>
          <w:kern w:val="21"/>
          <w:sz w:val="32"/>
          <w:szCs w:val="32"/>
        </w:rPr>
        <w:t>等</w:t>
      </w:r>
      <w:r>
        <w:rPr>
          <w:rFonts w:hint="eastAsia" w:ascii="仿宋_GB2312" w:hAnsi="仿宋_GB2312" w:eastAsia="仿宋_GB2312" w:cs="仿宋_GB2312"/>
          <w:spacing w:val="0"/>
          <w:kern w:val="21"/>
          <w:sz w:val="32"/>
          <w:szCs w:val="32"/>
          <w:lang w:val="en-US" w:eastAsia="zh-CN"/>
        </w:rPr>
        <w:t>设施</w:t>
      </w:r>
      <w:r>
        <w:rPr>
          <w:rFonts w:hint="eastAsia" w:ascii="仿宋_GB2312" w:hAnsi="仿宋_GB2312" w:eastAsia="仿宋_GB2312" w:cs="仿宋_GB2312"/>
          <w:spacing w:val="0"/>
          <w:kern w:val="21"/>
          <w:sz w:val="32"/>
          <w:szCs w:val="32"/>
        </w:rPr>
        <w:t>建设，全面构建有机融合的蓝绿空间和生态系统。强化跨域人文交流、国际论坛与会展等核心功能，</w:t>
      </w:r>
      <w:r>
        <w:rPr>
          <w:rFonts w:hint="eastAsia" w:ascii="仿宋_GB2312" w:hAnsi="仿宋_GB2312" w:eastAsia="仿宋_GB2312" w:cs="仿宋_GB2312"/>
          <w:spacing w:val="0"/>
          <w:kern w:val="21"/>
          <w:sz w:val="32"/>
          <w:szCs w:val="32"/>
          <w:lang w:val="en-US" w:eastAsia="zh-CN"/>
        </w:rPr>
        <w:t>协同共建</w:t>
      </w:r>
      <w:r>
        <w:rPr>
          <w:rFonts w:hint="eastAsia" w:ascii="仿宋_GB2312" w:hAnsi="仿宋_GB2312" w:eastAsia="仿宋_GB2312" w:cs="仿宋_GB2312"/>
          <w:spacing w:val="0"/>
          <w:kern w:val="21"/>
          <w:sz w:val="32"/>
          <w:szCs w:val="32"/>
        </w:rPr>
        <w:t>“长三角原点”，打造产居、人文、生态一体化的世界级水乡人居文明典范。</w:t>
      </w:r>
    </w:p>
    <w:p w14:paraId="75AA57C1">
      <w:pPr>
        <w:pStyle w:val="3"/>
        <w:keepNext w:val="0"/>
        <w:keepLines w:val="0"/>
        <w:pageBreakBefore w:val="0"/>
        <w:kinsoku/>
        <w:wordWrap/>
        <w:overflowPunct w:val="0"/>
        <w:topLinePunct/>
        <w:autoSpaceDE/>
        <w:autoSpaceDN/>
        <w:bidi w:val="0"/>
        <w:adjustRightInd/>
        <w:spacing w:before="156" w:after="156" w:line="560" w:lineRule="exact"/>
        <w:textAlignment w:val="auto"/>
        <w:rPr>
          <w:spacing w:val="0"/>
          <w:kern w:val="21"/>
          <w:sz w:val="32"/>
        </w:rPr>
      </w:pPr>
      <w:bookmarkStart w:id="212" w:name="_Toc11785"/>
      <w:bookmarkStart w:id="213" w:name="_Toc9257"/>
      <w:bookmarkStart w:id="214" w:name="_Toc24963"/>
      <w:bookmarkStart w:id="215" w:name="_Toc6201"/>
      <w:bookmarkStart w:id="216" w:name="_Toc13300"/>
      <w:bookmarkStart w:id="217" w:name="_Toc1576905988"/>
      <w:bookmarkStart w:id="218" w:name="_Toc972791119"/>
      <w:bookmarkStart w:id="219" w:name="_Toc1179007642"/>
      <w:bookmarkStart w:id="220" w:name="_Toc1949"/>
      <w:bookmarkStart w:id="221" w:name="_Toc23256"/>
      <w:r>
        <w:rPr>
          <w:rFonts w:ascii="楷体_GB2312" w:hAnsi="楷体_GB2312" w:eastAsia="楷体_GB2312" w:cs="楷体_GB2312"/>
          <w:spacing w:val="0"/>
          <w:kern w:val="21"/>
          <w:sz w:val="32"/>
        </w:rPr>
        <w:t>第</w:t>
      </w:r>
      <w:r>
        <w:rPr>
          <w:rFonts w:hint="eastAsia" w:ascii="楷体_GB2312" w:hAnsi="楷体_GB2312" w:eastAsia="楷体_GB2312" w:cs="楷体_GB2312"/>
          <w:spacing w:val="0"/>
          <w:kern w:val="21"/>
          <w:sz w:val="32"/>
          <w:lang w:eastAsia="zh-CN"/>
        </w:rPr>
        <w:t>二</w:t>
      </w:r>
      <w:r>
        <w:rPr>
          <w:rFonts w:ascii="楷体_GB2312" w:hAnsi="楷体_GB2312" w:eastAsia="楷体_GB2312" w:cs="楷体_GB2312"/>
          <w:spacing w:val="0"/>
          <w:kern w:val="21"/>
          <w:sz w:val="32"/>
        </w:rPr>
        <w:t xml:space="preserve">节 </w:t>
      </w:r>
      <w:r>
        <w:rPr>
          <w:rFonts w:hint="eastAsia" w:ascii="楷体_GB2312" w:hAnsi="楷体_GB2312" w:eastAsia="楷体_GB2312" w:cs="楷体_GB2312"/>
          <w:spacing w:val="0"/>
          <w:kern w:val="21"/>
          <w:sz w:val="32"/>
          <w:lang w:val="en-US" w:eastAsia="zh-CN"/>
        </w:rPr>
        <w:t xml:space="preserve"> </w:t>
      </w:r>
      <w:r>
        <w:rPr>
          <w:rFonts w:ascii="楷体_GB2312" w:hAnsi="楷体_GB2312" w:eastAsia="楷体_GB2312" w:cs="楷体_GB2312"/>
          <w:spacing w:val="0"/>
          <w:kern w:val="21"/>
          <w:sz w:val="32"/>
        </w:rPr>
        <w:t>纵深推进跨域协同发展</w:t>
      </w:r>
      <w:bookmarkEnd w:id="212"/>
      <w:bookmarkEnd w:id="213"/>
      <w:bookmarkEnd w:id="214"/>
      <w:bookmarkEnd w:id="215"/>
      <w:bookmarkEnd w:id="216"/>
      <w:bookmarkEnd w:id="217"/>
      <w:bookmarkEnd w:id="218"/>
      <w:bookmarkEnd w:id="219"/>
      <w:bookmarkEnd w:id="220"/>
      <w:bookmarkEnd w:id="221"/>
    </w:p>
    <w:p w14:paraId="1D802074">
      <w:pPr>
        <w:keepNext w:val="0"/>
        <w:keepLines w:val="0"/>
        <w:pageBreakBefore w:val="0"/>
        <w:kinsoku/>
        <w:wordWrap/>
        <w:overflowPunct w:val="0"/>
        <w:topLinePunct/>
        <w:autoSpaceDE/>
        <w:autoSpaceDN/>
        <w:bidi w:val="0"/>
        <w:adjustRightInd/>
        <w:snapToGrid/>
        <w:spacing w:line="560" w:lineRule="exact"/>
        <w:ind w:firstLine="640" w:firstLineChars="200"/>
        <w:textAlignment w:val="auto"/>
        <w:rPr>
          <w:rFonts w:hint="eastAsia" w:ascii="仿宋_GB2312" w:hAnsi="仿宋_GB2312" w:eastAsia="仿宋_GB2312" w:cs="仿宋_GB2312"/>
          <w:spacing w:val="0"/>
          <w:kern w:val="21"/>
          <w:sz w:val="32"/>
          <w:szCs w:val="32"/>
        </w:rPr>
      </w:pPr>
      <w:r>
        <w:rPr>
          <w:rFonts w:hint="eastAsia" w:ascii="仿宋_GB2312" w:hAnsi="仿宋_GB2312" w:eastAsia="仿宋_GB2312" w:cs="仿宋_GB2312"/>
          <w:spacing w:val="0"/>
          <w:kern w:val="21"/>
          <w:sz w:val="32"/>
          <w:szCs w:val="32"/>
        </w:rPr>
        <w:t>践行区域协调发展战略，深度融入</w:t>
      </w:r>
      <w:r>
        <w:rPr>
          <w:rFonts w:hint="eastAsia" w:ascii="仿宋_GB2312" w:eastAsia="仿宋_GB2312"/>
          <w:sz w:val="32"/>
          <w:szCs w:val="32"/>
        </w:rPr>
        <w:t>上海与苏州重点领域</w:t>
      </w:r>
      <w:r>
        <w:rPr>
          <w:rFonts w:hint="eastAsia" w:ascii="仿宋_GB2312" w:hAnsi="仿宋_GB2312" w:eastAsia="仿宋_GB2312" w:cs="仿宋_GB2312"/>
          <w:spacing w:val="0"/>
          <w:kern w:val="21"/>
          <w:sz w:val="32"/>
          <w:szCs w:val="32"/>
          <w:lang w:val="en-US" w:eastAsia="zh-CN"/>
        </w:rPr>
        <w:t>同城</w:t>
      </w:r>
      <w:r>
        <w:rPr>
          <w:rFonts w:hint="eastAsia" w:ascii="仿宋_GB2312" w:hAnsi="仿宋_GB2312" w:eastAsia="仿宋_GB2312" w:cs="仿宋_GB2312"/>
          <w:spacing w:val="0"/>
          <w:kern w:val="21"/>
          <w:sz w:val="32"/>
          <w:szCs w:val="32"/>
        </w:rPr>
        <w:t>和江浙联动发展，</w:t>
      </w:r>
      <w:r>
        <w:rPr>
          <w:rFonts w:hint="eastAsia" w:ascii="仿宋_GB2312" w:hAnsi="仿宋_GB2312" w:eastAsia="仿宋_GB2312" w:cs="仿宋_GB2312"/>
          <w:spacing w:val="0"/>
          <w:kern w:val="21"/>
          <w:sz w:val="32"/>
          <w:szCs w:val="32"/>
          <w:lang w:val="en-US" w:eastAsia="zh-CN"/>
        </w:rPr>
        <w:t>做好对口支援协作合作工作，</w:t>
      </w:r>
      <w:r>
        <w:rPr>
          <w:rFonts w:hint="eastAsia" w:ascii="仿宋_GB2312" w:hAnsi="仿宋_GB2312" w:eastAsia="仿宋_GB2312" w:cs="仿宋_GB2312"/>
          <w:spacing w:val="0"/>
          <w:kern w:val="21"/>
          <w:sz w:val="32"/>
          <w:szCs w:val="32"/>
        </w:rPr>
        <w:t>放大跨域协同优势，在服务构建新发展格局上走在前、做示范。</w:t>
      </w:r>
    </w:p>
    <w:p w14:paraId="1A57B65C">
      <w:pPr>
        <w:keepNext w:val="0"/>
        <w:keepLines w:val="0"/>
        <w:pageBreakBefore w:val="0"/>
        <w:kinsoku/>
        <w:wordWrap/>
        <w:overflowPunct w:val="0"/>
        <w:topLinePunct/>
        <w:autoSpaceDE/>
        <w:autoSpaceDN/>
        <w:bidi w:val="0"/>
        <w:adjustRightInd/>
        <w:snapToGrid/>
        <w:spacing w:line="560" w:lineRule="exact"/>
        <w:ind w:firstLine="643" w:firstLineChars="200"/>
        <w:textAlignment w:val="auto"/>
        <w:rPr>
          <w:rFonts w:hint="eastAsia" w:ascii="仿宋_GB2312" w:hAnsi="仿宋_GB2312" w:eastAsia="仿宋_GB2312" w:cs="仿宋_GB2312"/>
          <w:spacing w:val="0"/>
          <w:sz w:val="32"/>
          <w:szCs w:val="32"/>
          <w:lang w:val="en-US" w:eastAsia="zh-CN"/>
        </w:rPr>
      </w:pPr>
      <w:bookmarkStart w:id="222" w:name="_Toc23803"/>
      <w:bookmarkStart w:id="223" w:name="_Toc23646"/>
      <w:bookmarkStart w:id="224" w:name="_Toc804903197"/>
      <w:bookmarkStart w:id="225" w:name="_Toc1927537365"/>
      <w:bookmarkStart w:id="226" w:name="_Toc29673"/>
      <w:r>
        <w:rPr>
          <w:rStyle w:val="46"/>
          <w:rFonts w:ascii="Times New Roman" w:hAnsi="Times New Roman" w:eastAsia="仿宋_GB2312" w:cs="Times New Roman"/>
          <w:b/>
          <w:bCs/>
          <w:spacing w:val="0"/>
          <w:kern w:val="21"/>
          <w:sz w:val="32"/>
          <w:szCs w:val="32"/>
        </w:rPr>
        <w:t>强化产业联动。</w:t>
      </w:r>
      <w:bookmarkEnd w:id="222"/>
      <w:bookmarkEnd w:id="223"/>
      <w:bookmarkEnd w:id="224"/>
      <w:bookmarkEnd w:id="225"/>
      <w:bookmarkEnd w:id="226"/>
      <w:r>
        <w:rPr>
          <w:rFonts w:hint="eastAsia" w:ascii="Times New Roman" w:hAnsi="Times New Roman" w:eastAsia="仿宋_GB2312" w:cs="Times New Roman"/>
          <w:spacing w:val="0"/>
          <w:kern w:val="21"/>
          <w:sz w:val="32"/>
          <w:szCs w:val="32"/>
        </w:rPr>
        <w:t>积</w:t>
      </w:r>
      <w:r>
        <w:rPr>
          <w:rFonts w:ascii="Times New Roman" w:hAnsi="Times New Roman" w:eastAsia="仿宋_GB2312" w:cs="Times New Roman"/>
          <w:spacing w:val="0"/>
          <w:kern w:val="21"/>
          <w:sz w:val="32"/>
          <w:szCs w:val="32"/>
        </w:rPr>
        <w:t>极</w:t>
      </w:r>
      <w:r>
        <w:rPr>
          <w:rFonts w:hint="eastAsia" w:ascii="Times New Roman" w:hAnsi="Times New Roman" w:eastAsia="仿宋_GB2312" w:cs="Times New Roman"/>
          <w:spacing w:val="0"/>
          <w:kern w:val="21"/>
          <w:sz w:val="32"/>
          <w:szCs w:val="32"/>
        </w:rPr>
        <w:t>主动学习上海、对接上海、</w:t>
      </w:r>
      <w:r>
        <w:rPr>
          <w:rFonts w:ascii="Times New Roman" w:hAnsi="Times New Roman" w:eastAsia="仿宋_GB2312" w:cs="Times New Roman"/>
          <w:spacing w:val="0"/>
          <w:kern w:val="21"/>
          <w:sz w:val="32"/>
          <w:szCs w:val="32"/>
        </w:rPr>
        <w:t>服务上海</w:t>
      </w:r>
      <w:r>
        <w:rPr>
          <w:rFonts w:hint="eastAsia" w:ascii="Times New Roman" w:hAnsi="Times New Roman" w:eastAsia="仿宋_GB2312" w:cs="Times New Roman"/>
          <w:spacing w:val="0"/>
          <w:kern w:val="21"/>
          <w:sz w:val="32"/>
          <w:szCs w:val="32"/>
        </w:rPr>
        <w:t>、融入上海</w:t>
      </w:r>
      <w:r>
        <w:rPr>
          <w:rFonts w:ascii="Times New Roman" w:hAnsi="Times New Roman" w:eastAsia="仿宋_GB2312" w:cs="Times New Roman"/>
          <w:spacing w:val="0"/>
          <w:kern w:val="21"/>
          <w:sz w:val="32"/>
          <w:szCs w:val="32"/>
        </w:rPr>
        <w:t>，</w:t>
      </w:r>
      <w:r>
        <w:rPr>
          <w:rFonts w:hint="eastAsia" w:ascii="Times New Roman" w:hAnsi="Times New Roman" w:eastAsia="仿宋_GB2312" w:cs="Times New Roman"/>
          <w:spacing w:val="0"/>
          <w:kern w:val="21"/>
          <w:sz w:val="32"/>
          <w:szCs w:val="32"/>
        </w:rPr>
        <w:t>全方位融入上海“五个中心”建设，</w:t>
      </w:r>
      <w:r>
        <w:rPr>
          <w:rFonts w:ascii="Times New Roman" w:hAnsi="Times New Roman" w:eastAsia="仿宋_GB2312" w:cs="Times New Roman"/>
          <w:spacing w:val="0"/>
          <w:kern w:val="21"/>
          <w:sz w:val="32"/>
          <w:szCs w:val="32"/>
        </w:rPr>
        <w:t>强化与张江科学城、临港新片区的交流合作，全面对接虹桥国际开放枢纽，主动承接</w:t>
      </w:r>
      <w:r>
        <w:rPr>
          <w:rFonts w:hint="eastAsia" w:ascii="Times New Roman" w:hAnsi="Times New Roman" w:eastAsia="仿宋_GB2312" w:cs="Times New Roman"/>
          <w:spacing w:val="0"/>
          <w:kern w:val="21"/>
          <w:sz w:val="32"/>
          <w:szCs w:val="32"/>
        </w:rPr>
        <w:t>进博会等</w:t>
      </w:r>
      <w:r>
        <w:rPr>
          <w:rFonts w:ascii="Times New Roman" w:hAnsi="Times New Roman" w:eastAsia="仿宋_GB2312" w:cs="Times New Roman"/>
          <w:spacing w:val="0"/>
          <w:kern w:val="21"/>
          <w:sz w:val="32"/>
          <w:szCs w:val="32"/>
        </w:rPr>
        <w:t>溢出资源，</w:t>
      </w:r>
      <w:r>
        <w:rPr>
          <w:rFonts w:hint="eastAsia" w:ascii="Times New Roman" w:hAnsi="Times New Roman" w:eastAsia="仿宋_GB2312" w:cs="Times New Roman"/>
          <w:spacing w:val="0"/>
          <w:kern w:val="21"/>
          <w:sz w:val="32"/>
          <w:szCs w:val="32"/>
        </w:rPr>
        <w:t>推动特色产业园区与长三角成熟品牌园区资源共享、优势互补，聚焦示范区</w:t>
      </w:r>
      <w:r>
        <w:rPr>
          <w:rFonts w:hint="eastAsia" w:ascii="Times New Roman" w:hAnsi="Times New Roman" w:eastAsia="仿宋_GB2312" w:cs="Times New Roman"/>
          <w:spacing w:val="0"/>
          <w:kern w:val="21"/>
          <w:sz w:val="32"/>
          <w:szCs w:val="32"/>
          <w:lang w:val="en-US" w:eastAsia="zh-CN"/>
        </w:rPr>
        <w:t>重点产业</w:t>
      </w:r>
      <w:r>
        <w:rPr>
          <w:rFonts w:hint="eastAsia" w:ascii="Times New Roman" w:hAnsi="Times New Roman" w:eastAsia="仿宋_GB2312" w:cs="Times New Roman"/>
          <w:spacing w:val="0"/>
          <w:kern w:val="21"/>
          <w:sz w:val="32"/>
          <w:szCs w:val="32"/>
        </w:rPr>
        <w:t>强链补链延链，</w:t>
      </w:r>
      <w:r>
        <w:rPr>
          <w:rFonts w:ascii="Times New Roman" w:hAnsi="Times New Roman" w:eastAsia="仿宋_GB2312" w:cs="Times New Roman"/>
          <w:spacing w:val="0"/>
          <w:kern w:val="21"/>
          <w:sz w:val="32"/>
          <w:szCs w:val="32"/>
        </w:rPr>
        <w:t>提升产业科技创新的协同功能、产业链供应链循环畅通的枢纽功</w:t>
      </w:r>
      <w:r>
        <w:rPr>
          <w:rFonts w:ascii="Times New Roman" w:hAnsi="Times New Roman" w:eastAsia="仿宋_GB2312" w:cs="Times New Roman"/>
          <w:spacing w:val="-6"/>
          <w:kern w:val="21"/>
          <w:sz w:val="32"/>
          <w:szCs w:val="32"/>
        </w:rPr>
        <w:t>能、资源要素高效整合的配置功能，不断拓展新质生产力发展空间。</w:t>
      </w:r>
    </w:p>
    <w:p w14:paraId="3721710F">
      <w:pPr>
        <w:keepNext w:val="0"/>
        <w:keepLines w:val="0"/>
        <w:pageBreakBefore w:val="0"/>
        <w:kinsoku/>
        <w:wordWrap/>
        <w:overflowPunct w:val="0"/>
        <w:topLinePunct/>
        <w:autoSpaceDE/>
        <w:autoSpaceDN/>
        <w:bidi w:val="0"/>
        <w:adjustRightInd/>
        <w:snapToGrid/>
        <w:spacing w:line="560" w:lineRule="exact"/>
        <w:ind w:firstLine="643" w:firstLineChars="200"/>
        <w:textAlignment w:val="auto"/>
        <w:rPr>
          <w:rFonts w:hint="eastAsia" w:ascii="仿宋_GB2312" w:hAnsi="仿宋_GB2312" w:eastAsia="仿宋_GB2312" w:cs="仿宋_GB2312"/>
          <w:spacing w:val="0"/>
          <w:kern w:val="21"/>
          <w:sz w:val="32"/>
          <w:szCs w:val="32"/>
        </w:rPr>
      </w:pPr>
      <w:bookmarkStart w:id="227" w:name="_Toc13555"/>
      <w:bookmarkStart w:id="228" w:name="_Toc10315"/>
      <w:bookmarkStart w:id="229" w:name="_Toc1766519091"/>
      <w:bookmarkStart w:id="230" w:name="_Toc682099630"/>
      <w:bookmarkStart w:id="231" w:name="_Toc25024"/>
      <w:r>
        <w:rPr>
          <w:rStyle w:val="46"/>
          <w:rFonts w:hint="eastAsia" w:ascii="仿宋_GB2312" w:hAnsi="仿宋_GB2312" w:eastAsia="仿宋_GB2312" w:cs="Times New Roman"/>
          <w:b/>
          <w:bCs/>
          <w:spacing w:val="0"/>
          <w:kern w:val="21"/>
          <w:sz w:val="32"/>
          <w:szCs w:val="32"/>
        </w:rPr>
        <w:t>深化创新协作。</w:t>
      </w:r>
      <w:bookmarkEnd w:id="227"/>
      <w:bookmarkEnd w:id="228"/>
      <w:bookmarkEnd w:id="229"/>
      <w:bookmarkEnd w:id="230"/>
      <w:bookmarkEnd w:id="231"/>
      <w:r>
        <w:rPr>
          <w:rFonts w:hint="eastAsia" w:ascii="仿宋_GB2312" w:hAnsi="仿宋_GB2312" w:eastAsia="仿宋_GB2312" w:cs="仿宋_GB2312"/>
          <w:spacing w:val="0"/>
          <w:kern w:val="21"/>
          <w:sz w:val="32"/>
          <w:szCs w:val="32"/>
          <w:lang w:eastAsia="zh-CN"/>
        </w:rPr>
        <w:t>抓住上海（长三角）国际科技创新中心扩围至长三角的重大机遇</w:t>
      </w:r>
      <w:r>
        <w:rPr>
          <w:rFonts w:hint="eastAsia" w:ascii="仿宋_GB2312" w:hAnsi="仿宋_GB2312" w:eastAsia="仿宋_GB2312" w:cs="仿宋_GB2312"/>
          <w:spacing w:val="0"/>
          <w:kern w:val="21"/>
          <w:sz w:val="32"/>
          <w:szCs w:val="32"/>
        </w:rPr>
        <w:t>，</w:t>
      </w:r>
      <w:r>
        <w:rPr>
          <w:rFonts w:hint="eastAsia" w:ascii="仿宋_GB2312" w:hAnsi="仿宋_GB2312" w:eastAsia="仿宋_GB2312" w:cs="仿宋_GB2312"/>
          <w:spacing w:val="0"/>
          <w:kern w:val="21"/>
          <w:sz w:val="32"/>
          <w:szCs w:val="32"/>
          <w:lang w:eastAsia="zh-CN"/>
        </w:rPr>
        <w:t>强化区域协同创新与资源整合，</w:t>
      </w:r>
      <w:r>
        <w:rPr>
          <w:rFonts w:hint="eastAsia" w:ascii="仿宋_GB2312" w:hAnsi="仿宋_GB2312" w:eastAsia="仿宋_GB2312" w:cs="仿宋_GB2312"/>
          <w:spacing w:val="0"/>
          <w:kern w:val="21"/>
          <w:sz w:val="32"/>
          <w:szCs w:val="32"/>
        </w:rPr>
        <w:t>积极参与G60科创走廊建设，发挥长三角双创示范基地联盟、长三角高校协同创新联盟作用，承接华为练秋湖研发中心等科创平台溢出效应。落实长三角科技创新券等政策，共同构建长三角“政产学研用金”创新共同体，引育高能级产业创新主体，着力打造长三角科技成果转化最佳承载地。</w:t>
      </w:r>
    </w:p>
    <w:p w14:paraId="284806E3">
      <w:pPr>
        <w:keepNext w:val="0"/>
        <w:keepLines w:val="0"/>
        <w:pageBreakBefore w:val="0"/>
        <w:kinsoku/>
        <w:wordWrap/>
        <w:overflowPunct w:val="0"/>
        <w:topLinePunct/>
        <w:autoSpaceDE/>
        <w:autoSpaceDN/>
        <w:bidi w:val="0"/>
        <w:adjustRightInd/>
        <w:snapToGrid/>
        <w:spacing w:line="560" w:lineRule="exact"/>
        <w:ind w:firstLine="643" w:firstLineChars="200"/>
        <w:jc w:val="left"/>
        <w:textAlignment w:val="auto"/>
        <w:rPr>
          <w:rFonts w:ascii="Times New Roman" w:hAnsi="Times New Roman" w:eastAsia="仿宋_GB2312" w:cs="Times New Roman"/>
          <w:spacing w:val="0"/>
          <w:kern w:val="21"/>
          <w:sz w:val="32"/>
          <w:szCs w:val="32"/>
        </w:rPr>
      </w:pPr>
      <w:bookmarkStart w:id="232" w:name="_Toc201874954"/>
      <w:bookmarkStart w:id="233" w:name="_Toc573110067"/>
      <w:bookmarkStart w:id="234" w:name="_Toc30256"/>
      <w:bookmarkStart w:id="235" w:name="_Toc24661"/>
      <w:bookmarkStart w:id="236" w:name="_Toc27289"/>
      <w:r>
        <w:rPr>
          <w:rStyle w:val="46"/>
          <w:rFonts w:hint="eastAsia" w:ascii="仿宋_GB2312" w:hAnsi="仿宋_GB2312" w:eastAsia="仿宋_GB2312" w:cs="Times New Roman"/>
          <w:b/>
          <w:bCs/>
          <w:spacing w:val="0"/>
          <w:kern w:val="21"/>
          <w:sz w:val="32"/>
          <w:szCs w:val="32"/>
        </w:rPr>
        <w:t>加强交通</w:t>
      </w:r>
      <w:r>
        <w:rPr>
          <w:rStyle w:val="46"/>
          <w:rFonts w:hint="eastAsia" w:ascii="仿宋_GB2312" w:hAnsi="仿宋_GB2312" w:eastAsia="仿宋_GB2312" w:cs="Times New Roman"/>
          <w:b/>
          <w:bCs/>
          <w:spacing w:val="0"/>
          <w:kern w:val="21"/>
          <w:sz w:val="32"/>
          <w:szCs w:val="32"/>
          <w:lang w:eastAsia="zh-CN"/>
        </w:rPr>
        <w:t>互联互通</w:t>
      </w:r>
      <w:r>
        <w:rPr>
          <w:rStyle w:val="46"/>
          <w:rFonts w:hint="eastAsia" w:ascii="仿宋_GB2312" w:hAnsi="仿宋_GB2312" w:eastAsia="仿宋_GB2312" w:cs="Times New Roman"/>
          <w:b/>
          <w:bCs/>
          <w:spacing w:val="0"/>
          <w:kern w:val="21"/>
          <w:sz w:val="32"/>
          <w:szCs w:val="32"/>
        </w:rPr>
        <w:t>。</w:t>
      </w:r>
      <w:bookmarkEnd w:id="232"/>
      <w:bookmarkEnd w:id="233"/>
      <w:bookmarkEnd w:id="234"/>
      <w:bookmarkEnd w:id="235"/>
      <w:bookmarkEnd w:id="236"/>
      <w:r>
        <w:rPr>
          <w:rFonts w:hint="eastAsia" w:ascii="仿宋_GB2312" w:hAnsi="仿宋_GB2312" w:eastAsia="仿宋_GB2312" w:cs="仿宋_GB2312"/>
          <w:spacing w:val="0"/>
          <w:kern w:val="21"/>
          <w:sz w:val="32"/>
          <w:szCs w:val="32"/>
        </w:rPr>
        <w:t>加快通苏嘉甬铁路、水乡旅游线和如通苏湖城际铁路建设，推动盛泽站与嘉兴机场联动互补，</w:t>
      </w:r>
      <w:r>
        <w:rPr>
          <w:rFonts w:hint="eastAsia" w:ascii="Times New Roman" w:hAnsi="Times New Roman" w:eastAsia="仿宋_GB2312" w:cs="Times New Roman"/>
          <w:spacing w:val="0"/>
          <w:kern w:val="21"/>
          <w:sz w:val="32"/>
          <w:szCs w:val="32"/>
        </w:rPr>
        <w:t>推进浦港路东延南延等毗邻道路建设，推动</w:t>
      </w:r>
      <w:r>
        <w:rPr>
          <w:rFonts w:hint="eastAsia" w:ascii="仿宋_GB2312" w:hAnsi="仿宋_GB2312" w:eastAsia="仿宋_GB2312" w:cs="仿宋_GB2312"/>
          <w:spacing w:val="0"/>
          <w:kern w:val="21"/>
          <w:sz w:val="32"/>
          <w:szCs w:val="32"/>
        </w:rPr>
        <w:t>盛泽码头与洋山港及乍浦码头等江海河联运，开拓内河联运节点。以交通互联互通推动</w:t>
      </w:r>
      <w:r>
        <w:rPr>
          <w:rFonts w:ascii="Times New Roman" w:hAnsi="Times New Roman" w:eastAsia="仿宋_GB2312" w:cs="Times New Roman"/>
          <w:spacing w:val="0"/>
          <w:kern w:val="21"/>
          <w:sz w:val="32"/>
          <w:szCs w:val="32"/>
        </w:rPr>
        <w:t>互融互促，打造示范区人流、物流汇集节点和重要门户枢纽。</w:t>
      </w:r>
    </w:p>
    <w:p w14:paraId="17078DA2">
      <w:pPr>
        <w:keepNext w:val="0"/>
        <w:keepLines w:val="0"/>
        <w:pageBreakBefore w:val="0"/>
        <w:kinsoku/>
        <w:wordWrap/>
        <w:overflowPunct w:val="0"/>
        <w:topLinePunct/>
        <w:autoSpaceDE/>
        <w:autoSpaceDN/>
        <w:bidi w:val="0"/>
        <w:adjustRightInd/>
        <w:snapToGrid/>
        <w:spacing w:line="560" w:lineRule="exact"/>
        <w:ind w:firstLine="643" w:firstLineChars="200"/>
        <w:textAlignment w:val="auto"/>
        <w:rPr>
          <w:rFonts w:hint="eastAsia" w:ascii="仿宋_GB2312" w:hAnsi="仿宋_GB2312" w:eastAsia="仿宋_GB2312" w:cs="仿宋_GB2312"/>
          <w:spacing w:val="0"/>
          <w:kern w:val="21"/>
          <w:sz w:val="32"/>
          <w:szCs w:val="32"/>
          <w:lang w:eastAsia="zh-CN" w:bidi="ar"/>
        </w:rPr>
      </w:pPr>
      <w:bookmarkStart w:id="237" w:name="_Toc6597"/>
      <w:bookmarkStart w:id="238" w:name="_Toc24385"/>
      <w:r>
        <w:rPr>
          <w:rStyle w:val="46"/>
          <w:rFonts w:hint="eastAsia" w:ascii="Times New Roman" w:hAnsi="Times New Roman" w:eastAsia="仿宋_GB2312" w:cs="Times New Roman"/>
          <w:b/>
          <w:bCs/>
          <w:spacing w:val="0"/>
          <w:kern w:val="21"/>
          <w:sz w:val="32"/>
          <w:szCs w:val="32"/>
          <w:lang w:eastAsia="zh-CN" w:bidi="ar"/>
        </w:rPr>
        <w:t>推动</w:t>
      </w:r>
      <w:r>
        <w:rPr>
          <w:rStyle w:val="46"/>
          <w:rFonts w:ascii="Times New Roman" w:hAnsi="Times New Roman" w:eastAsia="仿宋_GB2312" w:cs="Times New Roman"/>
          <w:b/>
          <w:bCs/>
          <w:spacing w:val="0"/>
          <w:kern w:val="21"/>
          <w:sz w:val="32"/>
          <w:szCs w:val="32"/>
          <w:lang w:bidi="ar"/>
        </w:rPr>
        <w:t>共建共享</w:t>
      </w:r>
      <w:r>
        <w:rPr>
          <w:rStyle w:val="46"/>
          <w:rFonts w:hint="eastAsia" w:ascii="Times New Roman" w:hAnsi="Times New Roman" w:eastAsia="仿宋_GB2312" w:cs="Times New Roman"/>
          <w:b/>
          <w:bCs/>
          <w:spacing w:val="0"/>
          <w:kern w:val="21"/>
          <w:sz w:val="32"/>
          <w:szCs w:val="32"/>
          <w:lang w:val="en-US" w:eastAsia="zh-CN" w:bidi="ar"/>
        </w:rPr>
        <w:t>共治</w:t>
      </w:r>
      <w:r>
        <w:rPr>
          <w:rStyle w:val="46"/>
          <w:rFonts w:ascii="Times New Roman" w:hAnsi="Times New Roman" w:eastAsia="仿宋_GB2312" w:cs="Times New Roman"/>
          <w:b/>
          <w:bCs/>
          <w:spacing w:val="0"/>
          <w:kern w:val="21"/>
          <w:sz w:val="32"/>
          <w:szCs w:val="32"/>
          <w:lang w:bidi="ar"/>
        </w:rPr>
        <w:t>。</w:t>
      </w:r>
      <w:bookmarkEnd w:id="237"/>
      <w:bookmarkEnd w:id="238"/>
      <w:r>
        <w:rPr>
          <w:rFonts w:hint="eastAsia" w:ascii="仿宋_GB2312" w:hAnsi="仿宋_GB2312" w:eastAsia="仿宋_GB2312" w:cs="仿宋_GB2312"/>
          <w:spacing w:val="0"/>
          <w:kern w:val="21"/>
          <w:sz w:val="32"/>
          <w:szCs w:val="32"/>
          <w:lang w:bidi="ar"/>
        </w:rPr>
        <w:t>加强区域基本公共服务标准和制度衔接，持续拓展示范区共建共享公共服务项目清单。</w:t>
      </w:r>
      <w:r>
        <w:rPr>
          <w:rFonts w:hint="eastAsia" w:ascii="仿宋_GB2312" w:hAnsi="仿宋_GB2312" w:eastAsia="仿宋_GB2312" w:cs="仿宋_GB2312"/>
          <w:b w:val="0"/>
          <w:snapToGrid w:val="0"/>
          <w:color w:val="auto"/>
          <w:spacing w:val="0"/>
          <w:kern w:val="0"/>
          <w:sz w:val="32"/>
          <w:szCs w:val="32"/>
          <w:shd w:val="clear" w:color="auto" w:fill="FFFFFF"/>
          <w:lang w:val="en-US" w:eastAsia="zh-CN" w:bidi="ar"/>
        </w:rPr>
        <w:t>强化长三角优质资源导入，持续开展长三角合作办学，探索完善师资联培联训和职业教育跨省域“中高贯通”人才培养模式。</w:t>
      </w:r>
      <w:r>
        <w:rPr>
          <w:rFonts w:hint="eastAsia" w:ascii="仿宋_GB2312" w:hAnsi="仿宋_GB2312" w:eastAsia="仿宋_GB2312" w:cs="仿宋_GB2312"/>
          <w:color w:val="auto"/>
          <w:sz w:val="32"/>
          <w:szCs w:val="32"/>
          <w:lang w:eastAsia="zh-CN"/>
        </w:rPr>
        <w:t>优化政务服务“云综窗”、社保卡“一卡通”等工作，推进人才资质跨域互认，加强劳动保障监察协作。持续</w:t>
      </w:r>
      <w:r>
        <w:rPr>
          <w:rFonts w:hint="eastAsia" w:ascii="仿宋_GB2312" w:hAnsi="仿宋_GB2312" w:eastAsia="仿宋_GB2312" w:cs="仿宋_GB2312"/>
          <w:b w:val="0"/>
          <w:snapToGrid w:val="0"/>
          <w:color w:val="auto"/>
          <w:spacing w:val="0"/>
          <w:kern w:val="0"/>
          <w:sz w:val="32"/>
          <w:szCs w:val="32"/>
          <w:shd w:val="clear" w:color="auto" w:fill="FFFFFF"/>
          <w:lang w:val="en-US" w:eastAsia="zh-CN" w:bidi="ar"/>
        </w:rPr>
        <w:t>深化医保、文旅、体育、养老等领域协同发展</w:t>
      </w:r>
      <w:r>
        <w:rPr>
          <w:rFonts w:hint="eastAsia" w:ascii="仿宋_GB2312" w:hAnsi="仿宋_GB2312" w:eastAsia="仿宋_GB2312" w:cs="仿宋_GB2312"/>
          <w:spacing w:val="0"/>
          <w:kern w:val="21"/>
          <w:sz w:val="32"/>
          <w:szCs w:val="32"/>
          <w:lang w:bidi="ar"/>
        </w:rPr>
        <w:t>。</w:t>
      </w:r>
      <w:r>
        <w:rPr>
          <w:rFonts w:hint="eastAsia" w:ascii="仿宋_GB2312" w:hAnsi="仿宋_GB2312" w:eastAsia="仿宋_GB2312" w:cs="仿宋_GB2312"/>
          <w:snapToGrid/>
          <w:color w:val="auto"/>
          <w:spacing w:val="0"/>
          <w:kern w:val="2"/>
          <w:sz w:val="32"/>
          <w:szCs w:val="32"/>
          <w:lang w:eastAsia="zh-CN" w:bidi="ar"/>
        </w:rPr>
        <w:t>深入实施</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联合河长制</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，优化推广“吴江河湖云管家”一体化、数字化治水新模式，强</w:t>
      </w:r>
      <w:r>
        <w:rPr>
          <w:rFonts w:hint="eastAsia" w:ascii="仿宋_GB2312" w:hAnsi="仿宋_GB2312" w:eastAsia="仿宋_GB2312" w:cs="仿宋_GB2312"/>
          <w:color w:val="auto"/>
          <w:sz w:val="32"/>
          <w:szCs w:val="32"/>
          <w:lang w:eastAsia="zh-CN"/>
        </w:rPr>
        <w:t>化</w:t>
      </w:r>
      <w:r>
        <w:rPr>
          <w:rFonts w:hint="eastAsia" w:ascii="仿宋_GB2312" w:hAnsi="仿宋_GB2312" w:eastAsia="仿宋_GB2312" w:cs="仿宋_GB2312"/>
          <w:color w:val="auto"/>
          <w:sz w:val="32"/>
          <w:szCs w:val="32"/>
        </w:rPr>
        <w:t>区域大气污染联防联控和</w:t>
      </w:r>
      <w:r>
        <w:rPr>
          <w:rFonts w:hint="eastAsia" w:ascii="仿宋_GB2312" w:hAnsi="仿宋_GB2312" w:eastAsia="仿宋_GB2312" w:cs="仿宋_GB2312"/>
          <w:color w:val="auto"/>
          <w:sz w:val="32"/>
          <w:szCs w:val="32"/>
          <w:lang w:val="en-US" w:eastAsia="zh-CN"/>
        </w:rPr>
        <w:t>生物多样性联合保护</w:t>
      </w:r>
      <w:r>
        <w:rPr>
          <w:rFonts w:hint="eastAsia" w:ascii="仿宋_GB2312" w:hAnsi="仿宋_GB2312" w:eastAsia="仿宋_GB2312" w:cs="仿宋_GB2312"/>
          <w:color w:val="auto"/>
          <w:sz w:val="32"/>
          <w:szCs w:val="32"/>
        </w:rPr>
        <w:t>。</w:t>
      </w:r>
    </w:p>
    <w:p w14:paraId="3BD41182">
      <w:pPr>
        <w:keepNext w:val="0"/>
        <w:keepLines w:val="0"/>
        <w:pageBreakBefore w:val="0"/>
        <w:widowControl w:val="0"/>
        <w:numPr>
          <w:ilvl w:val="0"/>
          <w:numId w:val="0"/>
        </w:numPr>
        <w:kinsoku/>
        <w:wordWrap/>
        <w:overflowPunct w:val="0"/>
        <w:topLinePunct/>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snapToGrid w:val="0"/>
          <w:color w:val="auto"/>
          <w:spacing w:val="0"/>
          <w:kern w:val="0"/>
          <w:sz w:val="32"/>
          <w:szCs w:val="32"/>
          <w:shd w:val="clear" w:color="auto" w:fill="FFFFFF"/>
          <w:lang w:bidi="ar"/>
        </w:rPr>
      </w:pPr>
      <w:bookmarkStart w:id="239" w:name="_Toc20088"/>
      <w:bookmarkStart w:id="240" w:name="_Toc12553"/>
      <w:r>
        <w:rPr>
          <w:rStyle w:val="46"/>
          <w:rFonts w:hint="eastAsia" w:ascii="Times New Roman" w:hAnsi="Times New Roman" w:eastAsia="仿宋_GB2312" w:cs="Times New Roman"/>
          <w:b/>
          <w:bCs/>
          <w:color w:val="auto"/>
          <w:spacing w:val="0"/>
          <w:kern w:val="21"/>
          <w:sz w:val="32"/>
          <w:szCs w:val="32"/>
          <w:lang w:eastAsia="zh-CN" w:bidi="ar"/>
        </w:rPr>
        <w:t>深化</w:t>
      </w:r>
      <w:r>
        <w:rPr>
          <w:rStyle w:val="46"/>
          <w:rFonts w:hint="eastAsia" w:ascii="Times New Roman" w:hAnsi="Times New Roman" w:eastAsia="仿宋_GB2312" w:cs="Times New Roman"/>
          <w:b/>
          <w:bCs/>
          <w:color w:val="auto"/>
          <w:spacing w:val="0"/>
          <w:kern w:val="21"/>
          <w:sz w:val="32"/>
          <w:szCs w:val="32"/>
          <w:lang w:bidi="ar"/>
        </w:rPr>
        <w:t>一体化制度创新。</w:t>
      </w:r>
      <w:bookmarkEnd w:id="239"/>
      <w:bookmarkEnd w:id="240"/>
      <w:r>
        <w:rPr>
          <w:rFonts w:hint="eastAsia" w:ascii="仿宋_GB2312" w:hAnsi="仿宋_GB2312" w:eastAsia="仿宋_GB2312" w:cs="仿宋_GB2312"/>
          <w:b w:val="0"/>
          <w:snapToGrid w:val="0"/>
          <w:color w:val="auto"/>
          <w:spacing w:val="0"/>
          <w:kern w:val="0"/>
          <w:sz w:val="32"/>
          <w:szCs w:val="32"/>
          <w:shd w:val="clear" w:color="auto" w:fill="FFFFFF"/>
          <w:lang w:val="en-US" w:eastAsia="zh-CN" w:bidi="ar"/>
        </w:rPr>
        <w:t>深耕一体化制度创新试验田，承接用好国家和省级示范区改革授权事项，全面落实省委省政府推动示范区高质量发展政策意见。统筹推进现有试点，争取更多改革举措在吴江系统集成、</w:t>
      </w:r>
      <w:r>
        <w:rPr>
          <w:rFonts w:hint="eastAsia" w:ascii="仿宋_GB2312" w:hAnsi="仿宋_GB2312" w:eastAsia="仿宋_GB2312" w:cs="仿宋_GB2312"/>
          <w:spacing w:val="0"/>
          <w:sz w:val="32"/>
          <w:szCs w:val="32"/>
          <w:lang w:val="en-US" w:eastAsia="zh-CN"/>
        </w:rPr>
        <w:t>率先突破、</w:t>
      </w:r>
      <w:r>
        <w:rPr>
          <w:rFonts w:hint="eastAsia" w:ascii="仿宋_GB2312" w:hAnsi="仿宋_GB2312" w:eastAsia="仿宋_GB2312" w:cs="仿宋_GB2312"/>
          <w:b w:val="0"/>
          <w:snapToGrid w:val="0"/>
          <w:color w:val="auto"/>
          <w:spacing w:val="0"/>
          <w:kern w:val="0"/>
          <w:sz w:val="32"/>
          <w:szCs w:val="32"/>
          <w:shd w:val="clear" w:color="auto" w:fill="FFFFFF"/>
          <w:lang w:val="en-US" w:eastAsia="zh-CN" w:bidi="ar"/>
        </w:rPr>
        <w:t>集中落实。强化规划、土地、项目建设的跨区域协同和有机衔接，促进市场要素便利流动。聚焦重点领域推动制度创新和成果复制推广</w:t>
      </w:r>
      <w:r>
        <w:rPr>
          <w:rFonts w:hint="eastAsia" w:ascii="仿宋_GB2312" w:hAnsi="仿宋_GB2312" w:eastAsia="仿宋_GB2312" w:cs="仿宋_GB2312"/>
          <w:snapToGrid w:val="0"/>
          <w:color w:val="auto"/>
          <w:spacing w:val="0"/>
          <w:kern w:val="0"/>
          <w:sz w:val="32"/>
          <w:szCs w:val="32"/>
          <w:shd w:val="clear" w:color="auto" w:fill="FFFFFF"/>
          <w:lang w:bidi="ar"/>
        </w:rPr>
        <w:t>。</w:t>
      </w:r>
    </w:p>
    <w:p w14:paraId="20E7B907">
      <w:pPr>
        <w:overflowPunct w:val="0"/>
        <w:topLinePunct/>
        <w:spacing w:line="560" w:lineRule="exact"/>
        <w:ind w:firstLine="640" w:firstLineChars="200"/>
        <w:jc w:val="left"/>
        <w:rPr>
          <w:rFonts w:hint="eastAsia" w:ascii="仿宋_GB2312" w:hAnsi="仿宋_GB2312" w:eastAsia="仿宋_GB2312" w:cs="仿宋_GB2312"/>
          <w:snapToGrid w:val="0"/>
          <w:kern w:val="21"/>
          <w:sz w:val="32"/>
          <w:szCs w:val="32"/>
          <w:shd w:val="clear" w:color="auto" w:fill="FFFFFF"/>
          <w:lang w:bidi="ar"/>
        </w:rPr>
      </w:pPr>
      <w:r>
        <w:rPr>
          <w:rFonts w:hint="eastAsia" w:ascii="仿宋_GB2312" w:hAnsi="仿宋_GB2312" w:eastAsia="仿宋_GB2312" w:cs="仿宋_GB2312"/>
          <w:snapToGrid w:val="0"/>
          <w:kern w:val="21"/>
          <w:sz w:val="32"/>
          <w:szCs w:val="32"/>
          <w:shd w:val="clear" w:color="auto" w:fill="FFFFFF"/>
          <w:lang w:bidi="ar"/>
        </w:rPr>
        <w:br w:type="page"/>
      </w:r>
    </w:p>
    <w:p w14:paraId="6C0A6A86">
      <w:pPr>
        <w:pStyle w:val="2"/>
        <w:numPr>
          <w:ilvl w:val="255"/>
          <w:numId w:val="0"/>
        </w:numPr>
        <w:overflowPunct w:val="0"/>
        <w:topLinePunct/>
        <w:spacing w:line="560" w:lineRule="exact"/>
        <w:rPr>
          <w:rFonts w:hint="default" w:ascii="Calibri" w:hAnsi="Calibri" w:eastAsia="黑体"/>
          <w:spacing w:val="-11"/>
          <w:kern w:val="21"/>
          <w:sz w:val="32"/>
          <w:lang w:val="en-US" w:eastAsia="zh-CN"/>
        </w:rPr>
      </w:pPr>
      <w:bookmarkStart w:id="241" w:name="_Toc9973"/>
      <w:bookmarkStart w:id="242" w:name="_Toc23205"/>
      <w:bookmarkStart w:id="243" w:name="_Toc1750796699"/>
      <w:bookmarkStart w:id="244" w:name="_Toc474863347"/>
      <w:bookmarkStart w:id="245" w:name="_Toc14098"/>
      <w:bookmarkStart w:id="246" w:name="_Toc12117"/>
      <w:r>
        <w:rPr>
          <w:rFonts w:hint="default" w:ascii="Calibri" w:hAnsi="Calibri"/>
          <w:spacing w:val="-11"/>
          <w:kern w:val="21"/>
          <w:sz w:val="32"/>
        </w:rPr>
        <w:t>第六章  把握扩大内需战略基点</w:t>
      </w:r>
      <w:bookmarkEnd w:id="241"/>
      <w:bookmarkEnd w:id="242"/>
      <w:bookmarkEnd w:id="243"/>
      <w:bookmarkEnd w:id="244"/>
      <w:bookmarkStart w:id="247" w:name="_Toc23389"/>
      <w:bookmarkStart w:id="248" w:name="_Toc714436935"/>
      <w:bookmarkStart w:id="249" w:name="_Toc23840"/>
      <w:bookmarkStart w:id="250" w:name="_Toc1399458303"/>
      <w:r>
        <w:rPr>
          <w:rFonts w:hint="default" w:ascii="Calibri" w:hAnsi="Calibri"/>
          <w:spacing w:val="-11"/>
          <w:kern w:val="21"/>
          <w:sz w:val="32"/>
          <w:lang w:eastAsia="zh-CN"/>
        </w:rPr>
        <w:t>，</w:t>
      </w:r>
      <w:r>
        <w:rPr>
          <w:rFonts w:hint="default" w:ascii="Calibri" w:hAnsi="Calibri"/>
          <w:spacing w:val="-11"/>
          <w:kern w:val="21"/>
          <w:sz w:val="32"/>
        </w:rPr>
        <w:t>主动服务</w:t>
      </w:r>
      <w:bookmarkEnd w:id="245"/>
      <w:bookmarkEnd w:id="246"/>
      <w:bookmarkEnd w:id="247"/>
      <w:bookmarkEnd w:id="248"/>
      <w:bookmarkEnd w:id="249"/>
      <w:bookmarkEnd w:id="250"/>
      <w:r>
        <w:rPr>
          <w:rFonts w:hint="eastAsia"/>
          <w:spacing w:val="-11"/>
          <w:kern w:val="21"/>
          <w:sz w:val="32"/>
          <w:lang w:val="en-US" w:eastAsia="zh-CN"/>
        </w:rPr>
        <w:t>构建新发展格局</w:t>
      </w:r>
    </w:p>
    <w:p w14:paraId="095B952E">
      <w:pPr>
        <w:overflowPunct w:val="0"/>
        <w:topLinePunct/>
        <w:spacing w:line="560" w:lineRule="exact"/>
        <w:ind w:firstLine="640" w:firstLineChars="200"/>
        <w:rPr>
          <w:rFonts w:hint="eastAsia" w:ascii="仿宋_GB2312" w:hAnsi="仿宋_GB2312" w:eastAsia="仿宋_GB2312" w:cs="仿宋_GB2312"/>
          <w:spacing w:val="0"/>
          <w:kern w:val="21"/>
          <w:sz w:val="32"/>
          <w:szCs w:val="32"/>
        </w:rPr>
      </w:pPr>
    </w:p>
    <w:p w14:paraId="4F3B4A5B">
      <w:pPr>
        <w:overflowPunct w:val="0"/>
        <w:topLinePunct/>
        <w:spacing w:line="560" w:lineRule="exact"/>
        <w:ind w:firstLine="640" w:firstLineChars="200"/>
        <w:rPr>
          <w:rFonts w:hint="eastAsia" w:ascii="仿宋_GB2312" w:hAnsi="仿宋_GB2312" w:eastAsia="仿宋_GB2312" w:cs="仿宋_GB2312"/>
          <w:spacing w:val="0"/>
          <w:kern w:val="21"/>
          <w:sz w:val="32"/>
          <w:szCs w:val="32"/>
        </w:rPr>
      </w:pPr>
      <w:r>
        <w:rPr>
          <w:rFonts w:hint="eastAsia" w:ascii="仿宋_GB2312" w:hAnsi="仿宋_GB2312" w:eastAsia="仿宋_GB2312" w:cs="仿宋_GB2312"/>
          <w:color w:val="auto"/>
          <w:sz w:val="32"/>
          <w:szCs w:val="32"/>
          <w:lang w:val="en-US" w:eastAsia="zh-CN"/>
        </w:rPr>
        <w:t>落实苏州消费投资扩容增效工程，</w:t>
      </w:r>
      <w:r>
        <w:rPr>
          <w:rFonts w:hint="eastAsia" w:ascii="仿宋_GB2312" w:hAnsi="仿宋_GB2312" w:eastAsia="仿宋_GB2312" w:cs="仿宋_GB2312"/>
          <w:spacing w:val="0"/>
          <w:kern w:val="21"/>
          <w:sz w:val="32"/>
          <w:szCs w:val="32"/>
        </w:rPr>
        <w:t>深度融入国家内需体系，</w:t>
      </w:r>
      <w:r>
        <w:rPr>
          <w:rFonts w:hint="eastAsia" w:ascii="仿宋_GB2312" w:hAnsi="仿宋_GB2312" w:eastAsia="仿宋_GB2312" w:cs="仿宋_GB2312"/>
          <w:color w:val="000000"/>
          <w:spacing w:val="0"/>
          <w:kern w:val="21"/>
          <w:sz w:val="32"/>
          <w:szCs w:val="32"/>
          <w:highlight w:val="none"/>
        </w:rPr>
        <w:t>促进形成更多由内需主导、消费拉动、内生增长的经济发展模式</w:t>
      </w:r>
      <w:r>
        <w:rPr>
          <w:rFonts w:hint="eastAsia" w:ascii="仿宋_GB2312" w:hAnsi="仿宋_GB2312" w:eastAsia="仿宋_GB2312" w:cs="仿宋_GB2312"/>
          <w:color w:val="000000"/>
          <w:spacing w:val="0"/>
          <w:kern w:val="21"/>
          <w:sz w:val="32"/>
          <w:szCs w:val="32"/>
        </w:rPr>
        <w:t>，</w:t>
      </w:r>
      <w:r>
        <w:rPr>
          <w:rFonts w:hint="eastAsia" w:ascii="仿宋_GB2312" w:hAnsi="仿宋_GB2312" w:eastAsia="仿宋_GB2312" w:cs="仿宋_GB2312"/>
          <w:spacing w:val="0"/>
          <w:kern w:val="21"/>
          <w:sz w:val="32"/>
          <w:szCs w:val="32"/>
        </w:rPr>
        <w:t>主动服务国内大循环。</w:t>
      </w:r>
    </w:p>
    <w:p w14:paraId="11FE7ED1">
      <w:pPr>
        <w:pStyle w:val="3"/>
        <w:overflowPunct w:val="0"/>
        <w:topLinePunct/>
        <w:spacing w:before="156" w:after="156" w:line="560" w:lineRule="exact"/>
        <w:rPr>
          <w:rFonts w:hint="eastAsia" w:ascii="楷体_GB2312" w:hAnsi="楷体_GB2312" w:eastAsia="楷体_GB2312" w:cs="楷体_GB2312"/>
          <w:spacing w:val="0"/>
          <w:kern w:val="21"/>
          <w:sz w:val="32"/>
          <w:lang w:eastAsia="zh-CN"/>
        </w:rPr>
      </w:pPr>
      <w:bookmarkStart w:id="251" w:name="_Toc1865907660"/>
      <w:bookmarkStart w:id="252" w:name="_Toc10655"/>
      <w:bookmarkStart w:id="253" w:name="_Toc4488"/>
      <w:bookmarkStart w:id="254" w:name="_Toc1511820456"/>
      <w:bookmarkStart w:id="255" w:name="_Toc6398"/>
      <w:bookmarkStart w:id="256" w:name="_Toc21224"/>
      <w:bookmarkStart w:id="257" w:name="_Toc27110"/>
      <w:r>
        <w:rPr>
          <w:rFonts w:ascii="楷体_GB2312" w:hAnsi="楷体_GB2312" w:eastAsia="楷体_GB2312" w:cs="楷体_GB2312"/>
          <w:spacing w:val="0"/>
          <w:kern w:val="21"/>
          <w:sz w:val="32"/>
        </w:rPr>
        <w:t>第一节</w:t>
      </w:r>
      <w:r>
        <w:rPr>
          <w:rFonts w:hint="eastAsia" w:ascii="楷体_GB2312" w:hAnsi="楷体_GB2312" w:eastAsia="楷体_GB2312" w:cs="楷体_GB2312"/>
          <w:spacing w:val="0"/>
          <w:kern w:val="21"/>
          <w:sz w:val="32"/>
          <w:lang w:val="en-US" w:eastAsia="zh-CN"/>
        </w:rPr>
        <w:t xml:space="preserve"> </w:t>
      </w:r>
      <w:r>
        <w:rPr>
          <w:rFonts w:ascii="楷体_GB2312" w:hAnsi="楷体_GB2312" w:eastAsia="楷体_GB2312" w:cs="楷体_GB2312"/>
          <w:spacing w:val="0"/>
          <w:kern w:val="21"/>
          <w:sz w:val="32"/>
        </w:rPr>
        <w:t xml:space="preserve"> </w:t>
      </w:r>
      <w:r>
        <w:rPr>
          <w:rFonts w:hint="eastAsia" w:ascii="楷体_GB2312" w:hAnsi="楷体_GB2312" w:eastAsia="楷体_GB2312" w:cs="楷体_GB2312"/>
          <w:spacing w:val="0"/>
          <w:kern w:val="21"/>
          <w:sz w:val="32"/>
          <w:lang w:eastAsia="zh-CN"/>
        </w:rPr>
        <w:t>落实</w:t>
      </w:r>
      <w:r>
        <w:rPr>
          <w:rFonts w:ascii="楷体_GB2312" w:hAnsi="楷体_GB2312" w:eastAsia="楷体_GB2312" w:cs="楷体_GB2312"/>
          <w:spacing w:val="0"/>
          <w:kern w:val="21"/>
          <w:sz w:val="32"/>
        </w:rPr>
        <w:t>扩大内需战略</w:t>
      </w:r>
      <w:bookmarkEnd w:id="251"/>
      <w:bookmarkEnd w:id="252"/>
      <w:bookmarkEnd w:id="253"/>
      <w:bookmarkEnd w:id="254"/>
      <w:bookmarkEnd w:id="255"/>
      <w:r>
        <w:rPr>
          <w:rFonts w:hint="eastAsia" w:ascii="楷体_GB2312" w:hAnsi="楷体_GB2312" w:eastAsia="楷体_GB2312" w:cs="楷体_GB2312"/>
          <w:spacing w:val="0"/>
          <w:kern w:val="21"/>
          <w:sz w:val="32"/>
          <w:lang w:eastAsia="zh-CN"/>
        </w:rPr>
        <w:t>任务</w:t>
      </w:r>
      <w:bookmarkEnd w:id="256"/>
      <w:bookmarkEnd w:id="257"/>
    </w:p>
    <w:p w14:paraId="54487328">
      <w:pPr>
        <w:overflowPunct w:val="0"/>
        <w:topLinePunct/>
        <w:spacing w:line="560" w:lineRule="exact"/>
        <w:ind w:firstLine="640" w:firstLineChars="200"/>
        <w:rPr>
          <w:rFonts w:hint="eastAsia" w:ascii="仿宋_GB2312" w:hAnsi="仿宋_GB2312" w:eastAsia="仿宋_GB2312" w:cs="仿宋_GB2312"/>
          <w:spacing w:val="0"/>
          <w:kern w:val="21"/>
          <w:sz w:val="32"/>
          <w:szCs w:val="32"/>
        </w:rPr>
      </w:pPr>
      <w:r>
        <w:rPr>
          <w:rFonts w:hint="eastAsia" w:ascii="仿宋_GB2312" w:hAnsi="仿宋_GB2312" w:eastAsia="仿宋_GB2312" w:cs="仿宋_GB2312"/>
          <w:spacing w:val="0"/>
          <w:kern w:val="21"/>
          <w:sz w:val="32"/>
          <w:szCs w:val="32"/>
        </w:rPr>
        <w:t>坚持惠民生和促消费、投资于物和投资于人紧密结合，</w:t>
      </w:r>
      <w:r>
        <w:rPr>
          <w:rFonts w:hint="eastAsia" w:ascii="仿宋_GB2312" w:hAnsi="仿宋_GB2312" w:eastAsia="仿宋_GB2312" w:cs="仿宋_GB2312"/>
          <w:spacing w:val="0"/>
          <w:kern w:val="21"/>
          <w:sz w:val="32"/>
          <w:szCs w:val="32"/>
          <w:lang w:eastAsia="zh-CN"/>
        </w:rPr>
        <w:t>发挥积极财政政策作用，</w:t>
      </w:r>
      <w:r>
        <w:rPr>
          <w:rFonts w:hint="eastAsia" w:ascii="仿宋_GB2312" w:hAnsi="仿宋_GB2312" w:eastAsia="仿宋_GB2312" w:cs="仿宋_GB2312"/>
          <w:spacing w:val="0"/>
          <w:kern w:val="21"/>
          <w:sz w:val="32"/>
          <w:szCs w:val="32"/>
        </w:rPr>
        <w:t>以新需求引领新供给，以新供给创造新需求，促进消费和投资、供给和需求良性互动。</w:t>
      </w:r>
    </w:p>
    <w:p w14:paraId="5A473F70">
      <w:pPr>
        <w:overflowPunct w:val="0"/>
        <w:topLinePunct/>
        <w:spacing w:line="560" w:lineRule="exact"/>
        <w:ind w:firstLine="643" w:firstLineChars="200"/>
        <w:jc w:val="left"/>
        <w:rPr>
          <w:rFonts w:hint="eastAsia" w:ascii="仿宋_GB2312" w:hAnsi="仿宋_GB2312" w:eastAsia="仿宋_GB2312" w:cs="仿宋_GB2312"/>
          <w:spacing w:val="0"/>
          <w:kern w:val="21"/>
          <w:sz w:val="32"/>
        </w:rPr>
      </w:pPr>
      <w:bookmarkStart w:id="258" w:name="_Toc1375780050"/>
      <w:bookmarkStart w:id="259" w:name="_Toc32135"/>
      <w:bookmarkStart w:id="260" w:name="_Toc10409"/>
      <w:bookmarkStart w:id="261" w:name="_Toc979243926"/>
      <w:bookmarkStart w:id="262" w:name="_Toc329"/>
      <w:r>
        <w:rPr>
          <w:rStyle w:val="46"/>
          <w:rFonts w:hint="eastAsia" w:ascii="仿宋_GB2312" w:hAnsi="仿宋_GB2312" w:eastAsia="仿宋_GB2312" w:cs="仿宋_GB2312"/>
          <w:b/>
          <w:bCs/>
          <w:spacing w:val="0"/>
          <w:kern w:val="21"/>
          <w:sz w:val="32"/>
          <w:szCs w:val="32"/>
        </w:rPr>
        <w:t>大力提振消费。</w:t>
      </w:r>
      <w:bookmarkEnd w:id="258"/>
      <w:bookmarkEnd w:id="259"/>
      <w:bookmarkEnd w:id="260"/>
      <w:bookmarkEnd w:id="261"/>
      <w:bookmarkEnd w:id="262"/>
      <w:r>
        <w:rPr>
          <w:rFonts w:hint="eastAsia" w:ascii="仿宋_GB2312" w:hAnsi="仿宋_GB2312" w:eastAsia="仿宋_GB2312" w:cs="仿宋_GB2312"/>
          <w:spacing w:val="0"/>
          <w:kern w:val="21"/>
          <w:sz w:val="32"/>
          <w:szCs w:val="32"/>
        </w:rPr>
        <w:t>创新“适儿”“适青”“适老”“适新”全生命周期消费供给，</w:t>
      </w:r>
      <w:r>
        <w:rPr>
          <w:rFonts w:hint="eastAsia" w:ascii="仿宋_GB2312" w:hAnsi="仿宋_GB2312" w:eastAsia="仿宋_GB2312" w:cs="仿宋_GB2312"/>
          <w:spacing w:val="0"/>
          <w:kern w:val="21"/>
          <w:sz w:val="32"/>
          <w:szCs w:val="32"/>
          <w:lang w:val="en-US" w:eastAsia="zh-CN"/>
        </w:rPr>
        <w:t>坚持文旅带动、场景推动、活动拉动、产业联动，</w:t>
      </w:r>
      <w:r>
        <w:rPr>
          <w:rFonts w:hint="eastAsia" w:ascii="仿宋_GB2312" w:hAnsi="仿宋_GB2312" w:eastAsia="仿宋_GB2312" w:cs="仿宋_GB2312"/>
          <w:spacing w:val="0"/>
          <w:kern w:val="21"/>
          <w:sz w:val="32"/>
          <w:szCs w:val="32"/>
        </w:rPr>
        <w:t>持续实施提振消</w:t>
      </w:r>
      <w:r>
        <w:rPr>
          <w:rFonts w:hint="eastAsia" w:ascii="仿宋_GB2312" w:hAnsi="仿宋_GB2312" w:eastAsia="仿宋_GB2312" w:cs="仿宋_GB2312"/>
          <w:spacing w:val="0"/>
          <w:kern w:val="21"/>
          <w:sz w:val="32"/>
        </w:rPr>
        <w:t>费专项行动</w:t>
      </w:r>
      <w:r>
        <w:rPr>
          <w:rFonts w:hint="eastAsia" w:ascii="仿宋_GB2312" w:hAnsi="仿宋_GB2312" w:eastAsia="仿宋_GB2312" w:cs="仿宋_GB2312"/>
          <w:spacing w:val="0"/>
          <w:kern w:val="21"/>
          <w:sz w:val="32"/>
          <w:lang w:eastAsia="zh-CN"/>
        </w:rPr>
        <w:t>，</w:t>
      </w:r>
      <w:r>
        <w:rPr>
          <w:rFonts w:hint="eastAsia" w:ascii="仿宋_GB2312" w:hAnsi="仿宋_GB2312" w:eastAsia="仿宋_GB2312" w:cs="仿宋_GB2312"/>
          <w:spacing w:val="0"/>
          <w:kern w:val="21"/>
          <w:sz w:val="32"/>
          <w:lang w:val="en-US" w:eastAsia="zh-CN"/>
        </w:rPr>
        <w:t>扩大优质商品和服务供给</w:t>
      </w:r>
      <w:r>
        <w:rPr>
          <w:rFonts w:hint="eastAsia" w:ascii="仿宋_GB2312" w:hAnsi="仿宋_GB2312" w:eastAsia="仿宋_GB2312" w:cs="仿宋_GB2312"/>
          <w:spacing w:val="0"/>
          <w:kern w:val="21"/>
          <w:sz w:val="32"/>
        </w:rPr>
        <w:t>。统筹促就业、增收入、稳预期，全面落实配套政策，增强居民消费能力。迭代升级新消费载体，谋划开展系列促消费活动，擦亮“乐购吴江”品牌。培育壮大新型消费，大力发展情绪经济、在线经济、银发经济</w:t>
      </w:r>
      <w:r>
        <w:rPr>
          <w:rFonts w:hint="eastAsia" w:ascii="仿宋_GB2312" w:hAnsi="仿宋_GB2312" w:eastAsia="仿宋_GB2312" w:cs="仿宋_GB2312"/>
          <w:spacing w:val="0"/>
          <w:kern w:val="21"/>
          <w:sz w:val="32"/>
          <w:lang w:eastAsia="zh-CN"/>
        </w:rPr>
        <w:t>、</w:t>
      </w:r>
      <w:r>
        <w:rPr>
          <w:rFonts w:hint="eastAsia" w:ascii="仿宋_GB2312" w:hAnsi="仿宋_GB2312" w:eastAsia="仿宋_GB2312" w:cs="仿宋_GB2312"/>
          <w:spacing w:val="0"/>
          <w:kern w:val="21"/>
          <w:sz w:val="32"/>
          <w:lang w:val="en-US" w:eastAsia="zh-CN"/>
        </w:rPr>
        <w:t>社区经济等</w:t>
      </w:r>
      <w:r>
        <w:rPr>
          <w:rFonts w:hint="eastAsia" w:ascii="仿宋_GB2312" w:hAnsi="仿宋_GB2312" w:eastAsia="仿宋_GB2312" w:cs="仿宋_GB2312"/>
          <w:spacing w:val="0"/>
          <w:kern w:val="21"/>
          <w:sz w:val="32"/>
        </w:rPr>
        <w:t>，创新发展国潮文创、票根经济，扩大养老、育幼、健康、家政等服务消费规模。完善乡村消费生态，培育更多消费增长点。加强消费者权益保护，营造安全放心消费环境。</w:t>
      </w:r>
    </w:p>
    <w:p w14:paraId="0A567826">
      <w:pPr>
        <w:overflowPunct w:val="0"/>
        <w:topLinePunct/>
        <w:spacing w:line="560" w:lineRule="exact"/>
        <w:ind w:firstLine="643" w:firstLineChars="200"/>
        <w:rPr>
          <w:rFonts w:hint="eastAsia" w:ascii="仿宋_GB2312" w:hAnsi="仿宋_GB2312" w:eastAsia="仿宋_GB2312" w:cs="仿宋_GB2312"/>
          <w:spacing w:val="0"/>
          <w:kern w:val="21"/>
          <w:sz w:val="32"/>
          <w:szCs w:val="32"/>
        </w:rPr>
      </w:pPr>
      <w:bookmarkStart w:id="263" w:name="_Toc3438"/>
      <w:bookmarkStart w:id="264" w:name="_Toc42600312"/>
      <w:bookmarkStart w:id="265" w:name="_Toc696641252"/>
      <w:bookmarkStart w:id="266" w:name="_Toc20269"/>
      <w:bookmarkStart w:id="267" w:name="_Toc30198"/>
      <w:r>
        <w:rPr>
          <w:rStyle w:val="46"/>
          <w:rFonts w:hint="eastAsia" w:ascii="仿宋_GB2312" w:hAnsi="仿宋_GB2312" w:eastAsia="仿宋_GB2312" w:cs="Times New Roman"/>
          <w:b/>
          <w:bCs/>
          <w:spacing w:val="0"/>
          <w:kern w:val="21"/>
          <w:sz w:val="32"/>
          <w:szCs w:val="32"/>
        </w:rPr>
        <w:t>扩大有效投资</w:t>
      </w:r>
      <w:bookmarkEnd w:id="263"/>
      <w:bookmarkEnd w:id="264"/>
      <w:bookmarkEnd w:id="265"/>
      <w:bookmarkEnd w:id="266"/>
      <w:bookmarkEnd w:id="267"/>
      <w:r>
        <w:rPr>
          <w:rFonts w:hint="eastAsia" w:ascii="仿宋_GB2312" w:hAnsi="仿宋_GB2312" w:eastAsia="仿宋_GB2312" w:cs="仿宋_GB2312"/>
          <w:b/>
          <w:bCs/>
          <w:spacing w:val="0"/>
          <w:kern w:val="21"/>
          <w:sz w:val="32"/>
          <w:szCs w:val="32"/>
        </w:rPr>
        <w:t>。</w:t>
      </w:r>
      <w:r>
        <w:rPr>
          <w:rFonts w:hint="eastAsia" w:ascii="仿宋_GB2312" w:hAnsi="仿宋_GB2312" w:eastAsia="仿宋_GB2312" w:cs="仿宋_GB2312"/>
          <w:b w:val="0"/>
          <w:bCs w:val="0"/>
          <w:spacing w:val="0"/>
          <w:kern w:val="21"/>
          <w:sz w:val="32"/>
          <w:szCs w:val="32"/>
          <w:lang w:val="en-US" w:eastAsia="zh-CN"/>
        </w:rPr>
        <w:t>树牢“</w:t>
      </w:r>
      <w:r>
        <w:rPr>
          <w:rFonts w:hint="eastAsia" w:ascii="仿宋_GB2312" w:hAnsi="仿宋_GB2312" w:eastAsia="仿宋_GB2312" w:cs="仿宋_GB2312"/>
          <w:spacing w:val="0"/>
          <w:kern w:val="21"/>
          <w:sz w:val="32"/>
          <w:szCs w:val="32"/>
        </w:rPr>
        <w:t>项目为王</w:t>
      </w:r>
      <w:r>
        <w:rPr>
          <w:rFonts w:hint="eastAsia" w:ascii="仿宋_GB2312" w:hAnsi="仿宋_GB2312" w:eastAsia="仿宋_GB2312" w:cs="仿宋_GB2312"/>
          <w:spacing w:val="0"/>
          <w:kern w:val="21"/>
          <w:sz w:val="32"/>
          <w:szCs w:val="32"/>
          <w:lang w:eastAsia="zh-CN"/>
        </w:rPr>
        <w:t>”</w:t>
      </w:r>
      <w:r>
        <w:rPr>
          <w:rFonts w:hint="eastAsia" w:ascii="仿宋_GB2312" w:hAnsi="仿宋_GB2312" w:eastAsia="仿宋_GB2312" w:cs="仿宋_GB2312"/>
          <w:spacing w:val="0"/>
          <w:kern w:val="21"/>
          <w:sz w:val="32"/>
          <w:szCs w:val="32"/>
          <w:lang w:val="en-US" w:eastAsia="zh-CN"/>
        </w:rPr>
        <w:t>理念</w:t>
      </w:r>
      <w:r>
        <w:rPr>
          <w:rFonts w:hint="eastAsia" w:ascii="仿宋_GB2312" w:hAnsi="仿宋_GB2312" w:eastAsia="仿宋_GB2312" w:cs="仿宋_GB2312"/>
          <w:spacing w:val="0"/>
          <w:kern w:val="21"/>
          <w:sz w:val="32"/>
          <w:szCs w:val="32"/>
        </w:rPr>
        <w:t>，高效运行区级投资促进协调机制，建强产业招商、科技招商、服务业招商队伍，更好发挥“一号招商员”作用，完善招商工作保障，谋划、储备、推进一批辐射带动能力强、支撑长远发展的</w:t>
      </w:r>
      <w:r>
        <w:rPr>
          <w:rFonts w:hint="eastAsia" w:ascii="仿宋_GB2312" w:hAnsi="仿宋_GB2312" w:eastAsia="仿宋_GB2312" w:cs="仿宋_GB2312"/>
          <w:spacing w:val="0"/>
          <w:kern w:val="21"/>
          <w:sz w:val="32"/>
          <w:szCs w:val="32"/>
          <w:lang w:val="en-US" w:eastAsia="zh-CN"/>
        </w:rPr>
        <w:t>优质</w:t>
      </w:r>
      <w:r>
        <w:rPr>
          <w:rFonts w:hint="eastAsia" w:ascii="仿宋_GB2312" w:hAnsi="仿宋_GB2312" w:eastAsia="仿宋_GB2312" w:cs="仿宋_GB2312"/>
          <w:spacing w:val="0"/>
          <w:kern w:val="21"/>
          <w:sz w:val="32"/>
          <w:szCs w:val="32"/>
        </w:rPr>
        <w:t>项目。高质量推进“两重”“两新”项目建设。强化企业服务，鼓励民营企业扩大投资，统筹推进设备更新、技术改造、智改数转网联、增资扩产，加大高技术制造业投资力度。统筹安排、规范使用各类政府投资资金，发挥政府投资基金作用，引导带动社会投资，激发民营经济活力，支持民营企业参与重大项目建设，完善现代化基础设施布局。</w:t>
      </w:r>
    </w:p>
    <w:p w14:paraId="07F2CD10">
      <w:pPr>
        <w:overflowPunct w:val="0"/>
        <w:topLinePunct/>
        <w:snapToGrid/>
        <w:spacing w:line="560" w:lineRule="exact"/>
        <w:ind w:firstLine="643" w:firstLineChars="200"/>
        <w:jc w:val="both"/>
        <w:rPr>
          <w:rFonts w:hint="eastAsia" w:ascii="仿宋_GB2312" w:hAnsi="仿宋_GB2312" w:eastAsia="仿宋_GB2312" w:cs="仿宋_GB2312"/>
          <w:spacing w:val="0"/>
          <w:sz w:val="32"/>
          <w:szCs w:val="32"/>
          <w:highlight w:val="none"/>
        </w:rPr>
      </w:pPr>
      <w:bookmarkStart w:id="268" w:name="_Toc24488"/>
      <w:bookmarkStart w:id="269" w:name="_Toc481873639"/>
      <w:bookmarkStart w:id="270" w:name="_Toc3158"/>
      <w:bookmarkStart w:id="271" w:name="_Toc823273728"/>
      <w:bookmarkStart w:id="272" w:name="_Toc26791"/>
      <w:r>
        <w:rPr>
          <w:rStyle w:val="46"/>
          <w:rFonts w:hint="eastAsia" w:ascii="仿宋_GB2312" w:hAnsi="仿宋_GB2312" w:eastAsia="仿宋_GB2312" w:cs="Times New Roman"/>
          <w:spacing w:val="0"/>
          <w:kern w:val="21"/>
          <w:sz w:val="32"/>
          <w:szCs w:val="32"/>
        </w:rPr>
        <w:t>发挥积极财政政策作用</w:t>
      </w:r>
      <w:bookmarkEnd w:id="268"/>
      <w:bookmarkEnd w:id="269"/>
      <w:bookmarkEnd w:id="270"/>
      <w:bookmarkEnd w:id="271"/>
      <w:bookmarkEnd w:id="272"/>
      <w:r>
        <w:rPr>
          <w:rFonts w:hint="eastAsia" w:ascii="仿宋_GB2312" w:hAnsi="仿宋_GB2312" w:eastAsia="仿宋_GB2312" w:cs="仿宋_GB2312"/>
          <w:b/>
          <w:bCs/>
          <w:spacing w:val="0"/>
          <w:kern w:val="21"/>
          <w:sz w:val="32"/>
          <w:szCs w:val="32"/>
          <w:highlight w:val="none"/>
          <w:lang w:eastAsia="zh-CN"/>
        </w:rPr>
        <w:t>。</w:t>
      </w:r>
      <w:r>
        <w:rPr>
          <w:rFonts w:hint="eastAsia" w:ascii="仿宋_GB2312" w:hAnsi="仿宋_GB2312" w:eastAsia="仿宋_GB2312" w:cs="仿宋_GB2312"/>
          <w:spacing w:val="0"/>
          <w:sz w:val="32"/>
          <w:szCs w:val="32"/>
        </w:rPr>
        <w:t>坚持“向上争取、向内挖潜”双向发力</w:t>
      </w:r>
      <w:r>
        <w:rPr>
          <w:rFonts w:hint="eastAsia" w:ascii="仿宋_GB2312" w:hAnsi="仿宋_GB2312" w:eastAsia="仿宋_GB2312" w:cs="仿宋_GB2312"/>
          <w:spacing w:val="0"/>
          <w:sz w:val="32"/>
          <w:szCs w:val="32"/>
          <w:lang w:eastAsia="zh-CN"/>
        </w:rPr>
        <w:t>，</w:t>
      </w:r>
      <w:r>
        <w:rPr>
          <w:rFonts w:hint="eastAsia" w:ascii="仿宋_GB2312" w:hAnsi="仿宋_GB2312" w:eastAsia="仿宋_GB2312" w:cs="仿宋_GB2312"/>
          <w:spacing w:val="0"/>
          <w:sz w:val="32"/>
          <w:szCs w:val="32"/>
        </w:rPr>
        <w:t>不断增强财政统筹平衡和可持续发展能力。持续深化零基预算改革，优化统筹各类</w:t>
      </w:r>
      <w:r>
        <w:rPr>
          <w:rFonts w:hint="eastAsia" w:ascii="仿宋_GB2312" w:hAnsi="仿宋_GB2312" w:eastAsia="仿宋_GB2312" w:cs="仿宋_GB2312"/>
          <w:spacing w:val="0"/>
          <w:sz w:val="32"/>
          <w:szCs w:val="32"/>
          <w:lang w:val="en-US" w:eastAsia="zh-CN"/>
        </w:rPr>
        <w:t>国有</w:t>
      </w:r>
      <w:r>
        <w:rPr>
          <w:rFonts w:hint="eastAsia" w:ascii="仿宋_GB2312" w:hAnsi="仿宋_GB2312" w:eastAsia="仿宋_GB2312" w:cs="仿宋_GB2312"/>
          <w:spacing w:val="0"/>
          <w:sz w:val="32"/>
          <w:szCs w:val="32"/>
        </w:rPr>
        <w:t>资源、资产、资金，加强一般公共预算、政府性基金预算、国有资本经营预算的有机</w:t>
      </w:r>
      <w:r>
        <w:rPr>
          <w:rFonts w:hint="eastAsia" w:ascii="仿宋_GB2312" w:hAnsi="仿宋_GB2312" w:eastAsia="仿宋_GB2312" w:cs="仿宋_GB2312"/>
          <w:spacing w:val="0"/>
          <w:sz w:val="32"/>
          <w:szCs w:val="32"/>
          <w:lang w:eastAsia="zh-CN"/>
        </w:rPr>
        <w:t>衔接</w:t>
      </w:r>
      <w:r>
        <w:rPr>
          <w:rFonts w:hint="eastAsia" w:ascii="仿宋_GB2312" w:hAnsi="仿宋_GB2312" w:eastAsia="仿宋_GB2312" w:cs="仿宋_GB2312"/>
          <w:spacing w:val="0"/>
          <w:sz w:val="32"/>
          <w:szCs w:val="32"/>
        </w:rPr>
        <w:t>。优化财政支出结构，强化项目管理，推进成本预算绩效管理体系建设，有效提升财政资金使用效益。落实国家财税改革部署。优化财力与</w:t>
      </w:r>
      <w:r>
        <w:rPr>
          <w:rFonts w:hint="eastAsia" w:ascii="仿宋_GB2312" w:hAnsi="仿宋_GB2312" w:eastAsia="仿宋_GB2312" w:cs="仿宋_GB2312"/>
          <w:spacing w:val="0"/>
          <w:sz w:val="32"/>
          <w:szCs w:val="32"/>
          <w:highlight w:val="none"/>
        </w:rPr>
        <w:t>事权相匹配的财政管理体制，规范各类转移支付，兜牢兜实基层“三保”底线。全力争取地方政府债券、超长期特别国债、中央预算内投资等各类政府投资工具保障重大项目与重点领域资金需求。探索专项债券偿债备付金管理机制，实现稳增长与防风险长期均衡。</w:t>
      </w:r>
      <w:bookmarkStart w:id="273" w:name="_Toc23360"/>
      <w:bookmarkStart w:id="274" w:name="_Toc555326674"/>
      <w:bookmarkStart w:id="275" w:name="_Toc2020652410"/>
    </w:p>
    <w:p w14:paraId="2F9DA752">
      <w:pPr>
        <w:overflowPunct w:val="0"/>
        <w:topLinePunct/>
        <w:snapToGrid/>
        <w:spacing w:line="560" w:lineRule="exact"/>
        <w:ind w:firstLine="643" w:firstLineChars="200"/>
        <w:jc w:val="both"/>
        <w:rPr>
          <w:rFonts w:hint="eastAsia" w:ascii="仿宋_GB2312" w:hAnsi="仿宋_GB2312" w:eastAsia="仿宋_GB2312" w:cs="仿宋_GB2312"/>
          <w:spacing w:val="0"/>
          <w:kern w:val="21"/>
          <w:sz w:val="32"/>
          <w:szCs w:val="32"/>
        </w:rPr>
      </w:pPr>
      <w:bookmarkStart w:id="276" w:name="_Toc5339"/>
      <w:bookmarkStart w:id="277" w:name="_Toc10763"/>
      <w:r>
        <w:rPr>
          <w:rStyle w:val="46"/>
          <w:rFonts w:hint="eastAsia" w:ascii="仿宋_GB2312" w:hAnsi="仿宋_GB2312" w:eastAsia="仿宋_GB2312" w:cs="Times New Roman"/>
          <w:bCs w:val="0"/>
          <w:spacing w:val="0"/>
          <w:kern w:val="21"/>
          <w:sz w:val="32"/>
          <w:szCs w:val="32"/>
          <w:highlight w:val="none"/>
          <w:lang w:eastAsia="zh-CN"/>
        </w:rPr>
        <w:t>主动服务和融入全国统一大市场建设</w:t>
      </w:r>
      <w:bookmarkEnd w:id="273"/>
      <w:bookmarkEnd w:id="274"/>
      <w:bookmarkEnd w:id="275"/>
      <w:r>
        <w:rPr>
          <w:rStyle w:val="46"/>
          <w:rFonts w:hint="eastAsia" w:ascii="仿宋_GB2312" w:hAnsi="仿宋_GB2312" w:eastAsia="仿宋_GB2312" w:cs="Times New Roman"/>
          <w:bCs w:val="0"/>
          <w:spacing w:val="0"/>
          <w:kern w:val="21"/>
          <w:sz w:val="32"/>
          <w:szCs w:val="32"/>
          <w:highlight w:val="none"/>
          <w:lang w:eastAsia="zh-CN"/>
        </w:rPr>
        <w:t>。</w:t>
      </w:r>
      <w:bookmarkEnd w:id="276"/>
      <w:bookmarkEnd w:id="277"/>
      <w:r>
        <w:rPr>
          <w:rFonts w:hint="eastAsia" w:ascii="仿宋_GB2312" w:hAnsi="仿宋_GB2312" w:eastAsia="仿宋_GB2312" w:cs="仿宋_GB2312"/>
          <w:spacing w:val="0"/>
          <w:kern w:val="21"/>
          <w:sz w:val="32"/>
          <w:szCs w:val="32"/>
          <w:highlight w:val="none"/>
        </w:rPr>
        <w:t>准确把握“五统一、一开放”基本要求，</w:t>
      </w:r>
      <w:r>
        <w:rPr>
          <w:rFonts w:hint="eastAsia" w:ascii="仿宋_GB2312" w:hAnsi="仿宋_GB2312" w:eastAsia="仿宋_GB2312" w:cs="仿宋_GB2312"/>
          <w:color w:val="auto"/>
          <w:spacing w:val="0"/>
          <w:sz w:val="32"/>
          <w:szCs w:val="32"/>
          <w:highlight w:val="none"/>
          <w:lang w:val="en-US" w:eastAsia="zh-CN"/>
        </w:rPr>
        <w:t>服务构建统一、开放、竞争、有序的市场体系。规范招商引资、政府采购和招标投标等政府行为，开展</w:t>
      </w:r>
      <w:r>
        <w:rPr>
          <w:rFonts w:hint="eastAsia" w:ascii="仿宋_GB2312" w:hAnsi="仿宋_GB2312" w:eastAsia="仿宋_GB2312" w:cs="仿宋_GB2312"/>
          <w:color w:val="auto"/>
          <w:spacing w:val="0"/>
          <w:sz w:val="32"/>
          <w:szCs w:val="32"/>
          <w:highlight w:val="none"/>
        </w:rPr>
        <w:t>跨区域通办、一站式集成服务等创新，切实降低经营主体制度性交易成本。严格落实市场准入负面清单制度</w:t>
      </w:r>
      <w:r>
        <w:rPr>
          <w:rFonts w:hint="eastAsia" w:ascii="仿宋_GB2312" w:hAnsi="仿宋_GB2312" w:eastAsia="仿宋_GB2312" w:cs="仿宋_GB2312"/>
          <w:color w:val="auto"/>
          <w:spacing w:val="0"/>
          <w:sz w:val="32"/>
          <w:szCs w:val="32"/>
          <w:highlight w:val="none"/>
          <w:lang w:val="en-US" w:eastAsia="zh-CN"/>
        </w:rPr>
        <w:t>，持续开展市场壁</w:t>
      </w:r>
      <w:r>
        <w:rPr>
          <w:rFonts w:hint="eastAsia" w:ascii="仿宋_GB2312" w:hAnsi="仿宋_GB2312" w:eastAsia="仿宋_GB2312" w:cs="仿宋_GB2312"/>
          <w:color w:val="auto"/>
          <w:spacing w:val="0"/>
          <w:sz w:val="32"/>
          <w:szCs w:val="32"/>
          <w:lang w:val="en-US" w:eastAsia="zh-CN"/>
        </w:rPr>
        <w:t>垒清理，加强公平竞争审查刚性约束，推动市场平等向各类经营主体开放。综合整治“内卷式”竞争，依法依规治理企业低价无序竞争。</w:t>
      </w:r>
      <w:r>
        <w:rPr>
          <w:rFonts w:hint="eastAsia" w:ascii="仿宋_GB2312" w:hAnsi="仿宋_GB2312" w:eastAsia="仿宋_GB2312" w:cs="仿宋_GB2312"/>
          <w:color w:val="auto"/>
          <w:spacing w:val="0"/>
          <w:sz w:val="32"/>
          <w:szCs w:val="32"/>
        </w:rPr>
        <w:t>对接更高层级</w:t>
      </w:r>
      <w:r>
        <w:rPr>
          <w:rFonts w:hint="eastAsia" w:ascii="仿宋_GB2312" w:hAnsi="仿宋_GB2312" w:eastAsia="仿宋_GB2312" w:cs="仿宋_GB2312"/>
          <w:color w:val="auto"/>
          <w:spacing w:val="0"/>
          <w:sz w:val="32"/>
          <w:szCs w:val="32"/>
          <w:lang w:eastAsia="zh-CN"/>
        </w:rPr>
        <w:t>监管</w:t>
      </w:r>
      <w:r>
        <w:rPr>
          <w:rFonts w:hint="eastAsia" w:ascii="仿宋_GB2312" w:hAnsi="仿宋_GB2312" w:eastAsia="仿宋_GB2312" w:cs="仿宋_GB2312"/>
          <w:color w:val="auto"/>
          <w:spacing w:val="0"/>
          <w:sz w:val="32"/>
          <w:szCs w:val="32"/>
        </w:rPr>
        <w:t>标准</w:t>
      </w:r>
      <w:r>
        <w:rPr>
          <w:rFonts w:hint="eastAsia" w:ascii="仿宋_GB2312" w:hAnsi="仿宋_GB2312" w:eastAsia="仿宋_GB2312" w:cs="仿宋_GB2312"/>
          <w:color w:val="auto"/>
          <w:spacing w:val="0"/>
          <w:sz w:val="32"/>
          <w:szCs w:val="32"/>
          <w:lang w:eastAsia="zh-CN"/>
        </w:rPr>
        <w:t>，</w:t>
      </w:r>
      <w:r>
        <w:rPr>
          <w:rFonts w:hint="eastAsia" w:ascii="仿宋_GB2312" w:hAnsi="仿宋_GB2312" w:eastAsia="仿宋_GB2312" w:cs="仿宋_GB2312"/>
          <w:color w:val="auto"/>
          <w:spacing w:val="0"/>
          <w:sz w:val="32"/>
          <w:szCs w:val="32"/>
          <w:lang w:val="en-US" w:eastAsia="zh-CN"/>
        </w:rPr>
        <w:t>推进监管规则和执法尺度统一规范。</w:t>
      </w:r>
      <w:r>
        <w:rPr>
          <w:rFonts w:hint="eastAsia" w:ascii="仿宋_GB2312" w:hAnsi="仿宋_GB2312" w:eastAsia="仿宋_GB2312" w:cs="仿宋_GB2312"/>
          <w:color w:val="auto"/>
          <w:spacing w:val="0"/>
          <w:sz w:val="32"/>
          <w:szCs w:val="32"/>
        </w:rPr>
        <w:t>积极参与跨区域产权保护协作，健全知识产权快速协同保护机制</w:t>
      </w:r>
      <w:r>
        <w:rPr>
          <w:rFonts w:hint="eastAsia" w:ascii="仿宋_GB2312" w:hAnsi="仿宋_GB2312" w:eastAsia="仿宋_GB2312" w:cs="仿宋_GB2312"/>
          <w:color w:val="auto"/>
          <w:spacing w:val="0"/>
          <w:sz w:val="32"/>
          <w:szCs w:val="32"/>
          <w:lang w:val="en-US" w:eastAsia="zh-CN"/>
        </w:rPr>
        <w:t>。</w:t>
      </w:r>
      <w:r>
        <w:rPr>
          <w:rFonts w:hint="eastAsia" w:ascii="仿宋_GB2312" w:hAnsi="仿宋_GB2312" w:eastAsia="仿宋_GB2312" w:cs="仿宋_GB2312"/>
          <w:color w:val="auto"/>
          <w:spacing w:val="0"/>
          <w:sz w:val="32"/>
          <w:szCs w:val="32"/>
        </w:rPr>
        <w:t>完善现代物流等基础设施，提升区域流通节点效率，促进商品和要素高效有序流动。</w:t>
      </w:r>
    </w:p>
    <w:p w14:paraId="20C296E1">
      <w:pPr>
        <w:pStyle w:val="3"/>
        <w:overflowPunct w:val="0"/>
        <w:topLinePunct/>
        <w:spacing w:before="156" w:after="156" w:line="560" w:lineRule="exact"/>
        <w:rPr>
          <w:rFonts w:ascii="楷体_GB2312" w:hAnsi="楷体_GB2312" w:eastAsia="楷体_GB2312" w:cs="楷体_GB2312"/>
          <w:spacing w:val="0"/>
          <w:kern w:val="21"/>
          <w:sz w:val="32"/>
        </w:rPr>
      </w:pPr>
      <w:bookmarkStart w:id="278" w:name="_Toc1861"/>
      <w:bookmarkStart w:id="279" w:name="_Toc13397"/>
      <w:bookmarkStart w:id="280" w:name="_Toc26974"/>
      <w:bookmarkStart w:id="281" w:name="_Toc679430536"/>
      <w:bookmarkStart w:id="282" w:name="_Toc1981820529"/>
      <w:r>
        <w:rPr>
          <w:rFonts w:ascii="楷体_GB2312" w:hAnsi="楷体_GB2312" w:eastAsia="楷体_GB2312" w:cs="楷体_GB2312"/>
          <w:spacing w:val="0"/>
          <w:kern w:val="21"/>
          <w:sz w:val="32"/>
        </w:rPr>
        <w:t>第</w:t>
      </w:r>
      <w:r>
        <w:rPr>
          <w:rFonts w:hint="eastAsia" w:ascii="楷体_GB2312" w:hAnsi="楷体_GB2312" w:eastAsia="楷体_GB2312" w:cs="楷体_GB2312"/>
          <w:spacing w:val="0"/>
          <w:kern w:val="21"/>
          <w:sz w:val="32"/>
          <w:lang w:eastAsia="zh-CN"/>
        </w:rPr>
        <w:t>二</w:t>
      </w:r>
      <w:r>
        <w:rPr>
          <w:rFonts w:ascii="楷体_GB2312" w:hAnsi="楷体_GB2312" w:eastAsia="楷体_GB2312" w:cs="楷体_GB2312"/>
          <w:spacing w:val="0"/>
          <w:kern w:val="21"/>
          <w:sz w:val="32"/>
        </w:rPr>
        <w:t xml:space="preserve">节 </w:t>
      </w:r>
      <w:r>
        <w:rPr>
          <w:rFonts w:hint="eastAsia" w:ascii="楷体_GB2312" w:hAnsi="楷体_GB2312" w:eastAsia="楷体_GB2312" w:cs="楷体_GB2312"/>
          <w:spacing w:val="0"/>
          <w:kern w:val="21"/>
          <w:sz w:val="32"/>
          <w:lang w:val="en-US" w:eastAsia="zh-CN"/>
        </w:rPr>
        <w:t xml:space="preserve"> </w:t>
      </w:r>
      <w:r>
        <w:rPr>
          <w:rFonts w:ascii="楷体_GB2312" w:hAnsi="楷体_GB2312" w:eastAsia="楷体_GB2312" w:cs="楷体_GB2312"/>
          <w:spacing w:val="0"/>
          <w:kern w:val="21"/>
          <w:sz w:val="32"/>
        </w:rPr>
        <w:t>推进新型基础设施建设</w:t>
      </w:r>
      <w:bookmarkEnd w:id="278"/>
      <w:bookmarkEnd w:id="279"/>
      <w:bookmarkEnd w:id="280"/>
      <w:bookmarkEnd w:id="281"/>
      <w:bookmarkEnd w:id="282"/>
    </w:p>
    <w:p w14:paraId="7C1670BE">
      <w:pPr>
        <w:overflowPunct w:val="0"/>
        <w:topLinePunct/>
        <w:spacing w:line="560" w:lineRule="exact"/>
        <w:ind w:firstLine="640" w:firstLineChars="200"/>
        <w:rPr>
          <w:rFonts w:hint="eastAsia" w:ascii="仿宋_GB2312" w:hAnsi="仿宋_GB2312" w:eastAsia="仿宋_GB2312" w:cs="仿宋_GB2312"/>
          <w:strike/>
          <w:spacing w:val="0"/>
          <w:kern w:val="21"/>
          <w:sz w:val="32"/>
          <w:szCs w:val="32"/>
        </w:rPr>
      </w:pPr>
      <w:r>
        <w:rPr>
          <w:rFonts w:hint="eastAsia" w:ascii="仿宋_GB2312" w:hAnsi="仿宋_GB2312" w:eastAsia="仿宋_GB2312" w:cs="仿宋_GB2312"/>
          <w:spacing w:val="0"/>
          <w:kern w:val="21"/>
          <w:sz w:val="32"/>
          <w:szCs w:val="32"/>
        </w:rPr>
        <w:t>优化布局通信网络、大数据、新能源等新型基础设施，扩大数字转型、智能升级、融合创新等服务供给，加快构建面向未来的新型基础设施体系。</w:t>
      </w:r>
    </w:p>
    <w:p w14:paraId="3BA14DDC">
      <w:pPr>
        <w:overflowPunct w:val="0"/>
        <w:topLinePunct/>
        <w:spacing w:line="560" w:lineRule="exact"/>
        <w:ind w:firstLine="643" w:firstLineChars="200"/>
        <w:rPr>
          <w:rFonts w:hint="eastAsia" w:ascii="仿宋_GB2312" w:hAnsi="仿宋_GB2312" w:eastAsia="仿宋_GB2312" w:cs="仿宋_GB2312"/>
          <w:spacing w:val="0"/>
          <w:kern w:val="21"/>
          <w:sz w:val="32"/>
          <w:szCs w:val="32"/>
        </w:rPr>
      </w:pPr>
      <w:bookmarkStart w:id="283" w:name="_Toc4906"/>
      <w:bookmarkStart w:id="284" w:name="_Toc124713152"/>
      <w:bookmarkStart w:id="285" w:name="_Toc26664"/>
      <w:bookmarkStart w:id="286" w:name="_Toc31618"/>
      <w:bookmarkStart w:id="287" w:name="_Toc2027390128"/>
      <w:r>
        <w:rPr>
          <w:rStyle w:val="46"/>
          <w:rFonts w:hint="eastAsia" w:ascii="仿宋_GB2312" w:hAnsi="仿宋_GB2312" w:eastAsia="仿宋_GB2312" w:cs="Times New Roman"/>
          <w:b/>
          <w:bCs/>
          <w:spacing w:val="0"/>
          <w:kern w:val="21"/>
          <w:sz w:val="32"/>
          <w:szCs w:val="32"/>
        </w:rPr>
        <w:t>夯实网络基础设施建设</w:t>
      </w:r>
      <w:bookmarkEnd w:id="283"/>
      <w:bookmarkEnd w:id="284"/>
      <w:bookmarkEnd w:id="285"/>
      <w:bookmarkEnd w:id="286"/>
      <w:bookmarkEnd w:id="287"/>
      <w:r>
        <w:rPr>
          <w:rFonts w:hint="eastAsia" w:ascii="仿宋_GB2312" w:hAnsi="仿宋_GB2312" w:eastAsia="仿宋_GB2312" w:cs="仿宋_GB2312"/>
          <w:b/>
          <w:bCs/>
          <w:spacing w:val="0"/>
          <w:kern w:val="21"/>
          <w:sz w:val="32"/>
          <w:szCs w:val="32"/>
        </w:rPr>
        <w:t>。</w:t>
      </w:r>
      <w:r>
        <w:rPr>
          <w:rFonts w:hint="eastAsia" w:ascii="仿宋_GB2312" w:hAnsi="仿宋_GB2312" w:eastAsia="仿宋_GB2312" w:cs="仿宋_GB2312"/>
          <w:spacing w:val="0"/>
          <w:kern w:val="21"/>
          <w:sz w:val="32"/>
          <w:szCs w:val="36"/>
        </w:rPr>
        <w:t>以“智联赋能新底座”为核心，构建“全域覆盖、极速互联、智能调度、安全可控”的数字基础设施新生态。</w:t>
      </w:r>
      <w:r>
        <w:rPr>
          <w:rFonts w:hint="eastAsia" w:ascii="仿宋_GB2312" w:hAnsi="仿宋_GB2312" w:eastAsia="仿宋_GB2312" w:cs="仿宋_GB2312"/>
          <w:spacing w:val="0"/>
          <w:kern w:val="21"/>
          <w:sz w:val="32"/>
          <w:szCs w:val="32"/>
        </w:rPr>
        <w:t>优化完善5G基站、千兆光网等新型网络部署，</w:t>
      </w:r>
      <w:r>
        <w:rPr>
          <w:rFonts w:hint="eastAsia" w:ascii="仿宋_GB2312" w:hAnsi="仿宋_GB2312" w:eastAsia="仿宋_GB2312" w:cs="仿宋_GB2312"/>
          <w:spacing w:val="0"/>
          <w:kern w:val="21"/>
          <w:sz w:val="32"/>
          <w:szCs w:val="36"/>
        </w:rPr>
        <w:t>前瞻布局5G-A规模化应用与6G技术预研，打造万兆光网全域覆盖标杆，构建空天地一体化低空通信网络。创新建设可信数据空间、数场等新型设施，构建安全有序的数据流通体系。筑牢数据全生命周期安全防护屏障，形成“技术先进、支撑强劲、应用多元”的基础设施矩阵。</w:t>
      </w:r>
      <w:r>
        <w:rPr>
          <w:rFonts w:hint="eastAsia" w:ascii="仿宋_GB2312" w:hAnsi="仿宋_GB2312" w:eastAsia="仿宋_GB2312" w:cs="仿宋_GB2312"/>
          <w:spacing w:val="0"/>
          <w:kern w:val="21"/>
          <w:sz w:val="32"/>
          <w:szCs w:val="32"/>
        </w:rPr>
        <w:t>推进时间敏感网络（TSN）、边缘计算、区块链等技术改造升级工业企业网络，培育一批工业互联网“企企通”工程示范园区和企业内网改造标杆。</w:t>
      </w:r>
    </w:p>
    <w:p w14:paraId="2D066B1A">
      <w:pPr>
        <w:overflowPunct w:val="0"/>
        <w:topLinePunct/>
        <w:spacing w:line="560" w:lineRule="exact"/>
        <w:ind w:firstLine="643" w:firstLineChars="200"/>
        <w:rPr>
          <w:rFonts w:hint="default" w:ascii="仿宋_GB2312" w:hAnsi="仿宋_GB2312" w:eastAsia="仿宋_GB2312" w:cs="仿宋_GB2312"/>
          <w:spacing w:val="0"/>
          <w:kern w:val="21"/>
          <w:sz w:val="32"/>
          <w:szCs w:val="32"/>
          <w:u w:val="single"/>
          <w:lang w:val="en-US" w:eastAsia="zh-CN" w:bidi="ar"/>
        </w:rPr>
      </w:pPr>
      <w:bookmarkStart w:id="288" w:name="_Toc1424"/>
      <w:bookmarkStart w:id="289" w:name="_Toc4620"/>
      <w:bookmarkStart w:id="290" w:name="_Toc17854"/>
      <w:r>
        <w:rPr>
          <w:rStyle w:val="46"/>
          <w:rFonts w:hint="eastAsia" w:ascii="仿宋_GB2312" w:hAnsi="仿宋_GB2312" w:eastAsia="仿宋_GB2312" w:cs="仿宋_GB2312"/>
          <w:b/>
          <w:bCs/>
          <w:spacing w:val="0"/>
          <w:kern w:val="21"/>
          <w:sz w:val="32"/>
          <w:szCs w:val="32"/>
          <w:lang w:val="en-US" w:eastAsia="zh-CN"/>
        </w:rPr>
        <w:t>推进</w:t>
      </w:r>
      <w:r>
        <w:rPr>
          <w:rStyle w:val="46"/>
          <w:rFonts w:hint="eastAsia" w:ascii="仿宋_GB2312" w:hAnsi="仿宋_GB2312" w:eastAsia="仿宋_GB2312" w:cs="仿宋_GB2312"/>
          <w:b/>
          <w:bCs/>
          <w:spacing w:val="0"/>
          <w:kern w:val="21"/>
          <w:sz w:val="32"/>
          <w:szCs w:val="32"/>
        </w:rPr>
        <w:t>算力</w:t>
      </w:r>
      <w:r>
        <w:rPr>
          <w:rStyle w:val="46"/>
          <w:rFonts w:hint="eastAsia" w:ascii="仿宋_GB2312" w:hAnsi="仿宋_GB2312" w:eastAsia="仿宋_GB2312" w:cs="仿宋_GB2312"/>
          <w:b/>
          <w:bCs/>
          <w:spacing w:val="0"/>
          <w:kern w:val="21"/>
          <w:sz w:val="32"/>
          <w:szCs w:val="32"/>
          <w:lang w:val="en-US" w:eastAsia="zh-CN"/>
        </w:rPr>
        <w:t>基础设施建设</w:t>
      </w:r>
      <w:r>
        <w:rPr>
          <w:rStyle w:val="46"/>
          <w:rFonts w:hint="eastAsia" w:ascii="仿宋_GB2312" w:hAnsi="仿宋_GB2312" w:eastAsia="仿宋_GB2312" w:cs="仿宋_GB2312"/>
          <w:b/>
          <w:bCs/>
          <w:spacing w:val="0"/>
          <w:kern w:val="21"/>
          <w:sz w:val="32"/>
          <w:szCs w:val="32"/>
        </w:rPr>
        <w:t>。</w:t>
      </w:r>
      <w:bookmarkEnd w:id="288"/>
      <w:bookmarkEnd w:id="289"/>
      <w:bookmarkEnd w:id="290"/>
      <w:r>
        <w:rPr>
          <w:rFonts w:hint="eastAsia" w:ascii="仿宋_GB2312" w:hAnsi="仿宋_GB2312" w:eastAsia="仿宋_GB2312" w:cs="仿宋_GB2312"/>
          <w:spacing w:val="0"/>
          <w:kern w:val="21"/>
          <w:sz w:val="32"/>
          <w:szCs w:val="36"/>
        </w:rPr>
        <w:t>发挥中国电信长三角算力调度中心作用，</w:t>
      </w:r>
      <w:r>
        <w:rPr>
          <w:rFonts w:hint="eastAsia" w:ascii="仿宋_GB2312" w:hAnsi="仿宋_GB2312" w:eastAsia="仿宋_GB2312" w:cs="仿宋_GB2312"/>
          <w:spacing w:val="0"/>
          <w:kern w:val="21"/>
          <w:sz w:val="32"/>
          <w:szCs w:val="32"/>
          <w:lang w:bidi="ar"/>
        </w:rPr>
        <w:t>推动中国移动长三角（苏州）汾湖智算中心建成投用</w:t>
      </w:r>
      <w:r>
        <w:rPr>
          <w:rFonts w:hint="eastAsia" w:ascii="仿宋_GB2312" w:hAnsi="仿宋_GB2312" w:eastAsia="仿宋_GB2312" w:cs="仿宋_GB2312"/>
          <w:spacing w:val="0"/>
          <w:kern w:val="21"/>
          <w:sz w:val="32"/>
          <w:szCs w:val="32"/>
          <w:highlight w:val="none"/>
          <w:lang w:bidi="ar"/>
        </w:rPr>
        <w:t>。</w:t>
      </w:r>
      <w:r>
        <w:rPr>
          <w:rFonts w:hint="eastAsia" w:ascii="仿宋_GB2312" w:hAnsi="仿宋_GB2312" w:eastAsia="仿宋_GB2312" w:cs="仿宋_GB2312"/>
          <w:spacing w:val="0"/>
          <w:sz w:val="32"/>
          <w:szCs w:val="32"/>
          <w:lang w:val="en-US" w:eastAsia="zh-CN"/>
        </w:rPr>
        <w:t>构建以高性能智算与超算异构协同的算力供给体系。深入实施国家“东数西算”工程，积极推动算力互联互通调度平台建设。</w:t>
      </w:r>
      <w:r>
        <w:rPr>
          <w:rFonts w:hint="eastAsia" w:ascii="仿宋_GB2312" w:hAnsi="仿宋_GB2312" w:eastAsia="仿宋_GB2312" w:cs="仿宋_GB2312"/>
          <w:spacing w:val="0"/>
          <w:kern w:val="21"/>
          <w:sz w:val="32"/>
          <w:szCs w:val="32"/>
          <w:lang w:bidi="ar"/>
        </w:rPr>
        <w:t>研究</w:t>
      </w:r>
      <w:r>
        <w:rPr>
          <w:rFonts w:hint="eastAsia" w:ascii="仿宋_GB2312" w:hAnsi="仿宋_GB2312" w:eastAsia="仿宋_GB2312" w:cs="仿宋_GB2312"/>
          <w:spacing w:val="0"/>
          <w:kern w:val="21"/>
          <w:sz w:val="32"/>
          <w:szCs w:val="36"/>
        </w:rPr>
        <w:t>出台“算力券”等算力补贴政策，深化算力在工业、教育、交通、医疗等行业应用中的赋能成效。聚焦硬件制造、软件服务、技术应用，引进落地一批算力生态合作伙伴，构建全链条算力产业格局。</w:t>
      </w:r>
      <w:r>
        <w:rPr>
          <w:rFonts w:hint="eastAsia" w:ascii="仿宋_GB2312" w:hAnsi="仿宋_GB2312" w:eastAsia="仿宋_GB2312" w:cs="仿宋_GB2312"/>
          <w:spacing w:val="0"/>
          <w:sz w:val="32"/>
          <w:szCs w:val="32"/>
          <w:lang w:val="en-US" w:eastAsia="zh-CN"/>
        </w:rPr>
        <w:t>推动算力基础设施全面迈向绿色低碳，通过提升能效与碳效，有序发展集约高效的数据中心集群。</w:t>
      </w:r>
      <w:r>
        <w:rPr>
          <w:rFonts w:hint="eastAsia" w:ascii="仿宋_GB2312" w:hAnsi="仿宋_GB2312" w:eastAsia="仿宋_GB2312" w:cs="仿宋_GB2312"/>
          <w:spacing w:val="0"/>
          <w:kern w:val="21"/>
          <w:sz w:val="32"/>
          <w:szCs w:val="32"/>
          <w:u w:val="none"/>
          <w:lang w:eastAsia="zh-CN" w:bidi="ar"/>
        </w:rPr>
        <w:t>到</w:t>
      </w:r>
      <w:r>
        <w:rPr>
          <w:rFonts w:hint="eastAsia" w:ascii="仿宋_GB2312" w:hAnsi="仿宋_GB2312" w:eastAsia="仿宋_GB2312" w:cs="仿宋_GB2312"/>
          <w:spacing w:val="0"/>
          <w:kern w:val="21"/>
          <w:sz w:val="32"/>
          <w:szCs w:val="32"/>
          <w:u w:val="none"/>
          <w:lang w:val="en-US" w:eastAsia="zh-CN" w:bidi="ar"/>
        </w:rPr>
        <w:t>2030年，智算规模达</w:t>
      </w:r>
      <w:r>
        <w:rPr>
          <w:rFonts w:hint="default" w:ascii="仿宋_GB2312" w:hAnsi="仿宋_GB2312" w:eastAsia="仿宋_GB2312" w:cs="仿宋_GB2312"/>
          <w:spacing w:val="0"/>
          <w:sz w:val="32"/>
          <w:szCs w:val="32"/>
          <w:u w:val="none"/>
          <w:lang w:val="en-US" w:eastAsia="zh-CN"/>
        </w:rPr>
        <w:t>4</w:t>
      </w:r>
      <w:r>
        <w:rPr>
          <w:rFonts w:hint="eastAsia" w:ascii="仿宋_GB2312" w:hAnsi="仿宋_GB2312" w:eastAsia="仿宋_GB2312" w:cs="仿宋_GB2312"/>
          <w:spacing w:val="0"/>
          <w:sz w:val="32"/>
          <w:szCs w:val="32"/>
          <w:u w:val="none"/>
          <w:lang w:val="en-US" w:eastAsia="zh-CN"/>
        </w:rPr>
        <w:t>万P</w:t>
      </w:r>
      <w:r>
        <w:rPr>
          <w:rFonts w:hint="default" w:ascii="仿宋_GB2312" w:hAnsi="仿宋_GB2312" w:eastAsia="仿宋_GB2312" w:cs="仿宋_GB2312"/>
          <w:spacing w:val="0"/>
          <w:sz w:val="32"/>
          <w:szCs w:val="32"/>
          <w:u w:val="none"/>
          <w:lang w:val="en-US" w:eastAsia="zh-CN"/>
        </w:rPr>
        <w:t>FLOPS</w:t>
      </w:r>
      <w:r>
        <w:rPr>
          <w:rFonts w:hint="eastAsia" w:ascii="仿宋_GB2312" w:hAnsi="仿宋_GB2312" w:eastAsia="仿宋_GB2312" w:cs="仿宋_GB2312"/>
          <w:spacing w:val="0"/>
          <w:sz w:val="32"/>
          <w:szCs w:val="32"/>
          <w:u w:val="none"/>
          <w:lang w:val="en-US" w:eastAsia="zh-CN"/>
        </w:rPr>
        <w:t>（FP16）</w:t>
      </w:r>
      <w:r>
        <w:rPr>
          <w:rFonts w:hint="eastAsia" w:ascii="仿宋_GB2312" w:hAnsi="仿宋_GB2312" w:eastAsia="仿宋_GB2312" w:cs="仿宋_GB2312"/>
          <w:spacing w:val="0"/>
          <w:kern w:val="21"/>
          <w:sz w:val="32"/>
          <w:szCs w:val="32"/>
          <w:u w:val="none"/>
          <w:lang w:val="en-US" w:eastAsia="zh-CN" w:bidi="ar"/>
        </w:rPr>
        <w:t>，数据中心标准机架规模突破10万架。</w:t>
      </w:r>
    </w:p>
    <w:p w14:paraId="52A31372">
      <w:pPr>
        <w:numPr>
          <w:ilvl w:val="255"/>
          <w:numId w:val="0"/>
        </w:numPr>
        <w:overflowPunct w:val="0"/>
        <w:topLinePunct/>
        <w:spacing w:line="560" w:lineRule="exact"/>
        <w:ind w:firstLine="643" w:firstLineChars="200"/>
        <w:rPr>
          <w:rFonts w:hint="eastAsia" w:ascii="仿宋_GB2312" w:hAnsi="仿宋_GB2312" w:eastAsia="仿宋_GB2312" w:cs="仿宋_GB2312"/>
          <w:spacing w:val="0"/>
          <w:kern w:val="21"/>
          <w:sz w:val="32"/>
          <w:szCs w:val="32"/>
        </w:rPr>
      </w:pPr>
      <w:bookmarkStart w:id="291" w:name="_Toc8250"/>
      <w:bookmarkStart w:id="292" w:name="_Toc10297"/>
      <w:bookmarkStart w:id="293" w:name="_Toc29649"/>
      <w:bookmarkStart w:id="294" w:name="_Toc835699727"/>
      <w:bookmarkStart w:id="295" w:name="_Toc457027251"/>
      <w:r>
        <w:rPr>
          <w:rStyle w:val="46"/>
          <w:rFonts w:hint="eastAsia" w:ascii="仿宋_GB2312" w:hAnsi="仿宋_GB2312" w:eastAsia="仿宋_GB2312" w:cs="Times New Roman"/>
          <w:b/>
          <w:bCs/>
          <w:spacing w:val="0"/>
          <w:kern w:val="21"/>
          <w:sz w:val="32"/>
          <w:szCs w:val="32"/>
        </w:rPr>
        <w:t>推进新能源基础设施建设</w:t>
      </w:r>
      <w:bookmarkEnd w:id="291"/>
      <w:bookmarkEnd w:id="292"/>
      <w:bookmarkEnd w:id="293"/>
      <w:bookmarkEnd w:id="294"/>
      <w:bookmarkEnd w:id="295"/>
      <w:r>
        <w:rPr>
          <w:rFonts w:hint="eastAsia" w:ascii="仿宋_GB2312" w:hAnsi="仿宋_GB2312" w:eastAsia="仿宋_GB2312" w:cs="仿宋_GB2312"/>
          <w:b/>
          <w:bCs/>
          <w:spacing w:val="0"/>
          <w:kern w:val="21"/>
          <w:sz w:val="32"/>
          <w:szCs w:val="32"/>
        </w:rPr>
        <w:t>。</w:t>
      </w:r>
      <w:r>
        <w:rPr>
          <w:rFonts w:hint="eastAsia" w:ascii="仿宋_GB2312" w:hAnsi="仿宋_GB2312" w:eastAsia="仿宋_GB2312" w:cs="仿宋_GB2312"/>
          <w:spacing w:val="0"/>
          <w:kern w:val="21"/>
          <w:sz w:val="32"/>
          <w:szCs w:val="32"/>
          <w:lang w:bidi="ar"/>
        </w:rPr>
        <w:t>加快布局</w:t>
      </w:r>
      <w:r>
        <w:rPr>
          <w:rFonts w:hint="eastAsia" w:ascii="仿宋_GB2312" w:hAnsi="仿宋_GB2312" w:eastAsia="仿宋_GB2312" w:cs="仿宋_GB2312"/>
          <w:spacing w:val="0"/>
          <w:kern w:val="21"/>
          <w:sz w:val="32"/>
          <w:szCs w:val="32"/>
        </w:rPr>
        <w:t>新能源汽车充电桩、</w:t>
      </w:r>
      <w:r>
        <w:rPr>
          <w:rFonts w:hint="eastAsia" w:ascii="仿宋_GB2312" w:hAnsi="仿宋_GB2312" w:eastAsia="仿宋_GB2312" w:cs="仿宋_GB2312"/>
          <w:spacing w:val="0"/>
          <w:kern w:val="21"/>
          <w:sz w:val="32"/>
          <w:szCs w:val="32"/>
          <w:lang w:bidi="ar"/>
        </w:rPr>
        <w:t>光伏、智能电网、氢能等新能源基础设施。加快充电基础设施建设，推进电网基础设施智能化改造。探索建设制储加一体化加氢站，提升新能源行业循环回收再利用技术及服务水平，推动能源绿色低碳转型和高质量发展。规划建设“配网高可靠性示范区”，推动用户供电可靠率达到国际先进水平。持续推动分布式光伏建设，推</w:t>
      </w:r>
      <w:r>
        <w:rPr>
          <w:rFonts w:hint="eastAsia" w:ascii="仿宋_GB2312" w:hAnsi="仿宋_GB2312" w:eastAsia="仿宋_GB2312" w:cs="仿宋_GB2312"/>
          <w:spacing w:val="0"/>
          <w:kern w:val="21"/>
          <w:sz w:val="32"/>
          <w:szCs w:val="32"/>
        </w:rPr>
        <w:t>动重点工业用能领域建设绿色微电网试点示范工程，探索打造“绿电直连”示范项目。推动绿色工厂、零碳（近</w:t>
      </w:r>
      <w:r>
        <w:rPr>
          <w:rFonts w:hint="eastAsia" w:ascii="仿宋_GB2312" w:hAnsi="仿宋_GB2312" w:eastAsia="仿宋_GB2312" w:cs="仿宋_GB2312"/>
          <w:spacing w:val="0"/>
          <w:kern w:val="21"/>
          <w:sz w:val="32"/>
          <w:szCs w:val="32"/>
          <w:lang w:val="en-US" w:eastAsia="zh-CN"/>
        </w:rPr>
        <w:t>零碳</w:t>
      </w:r>
      <w:r>
        <w:rPr>
          <w:rFonts w:hint="eastAsia" w:ascii="仿宋_GB2312" w:hAnsi="仿宋_GB2312" w:eastAsia="仿宋_GB2312" w:cs="仿宋_GB2312"/>
          <w:spacing w:val="0"/>
          <w:kern w:val="21"/>
          <w:sz w:val="32"/>
          <w:szCs w:val="32"/>
        </w:rPr>
        <w:t>）工厂、绿色工业园区、零碳园区等绿色样板创建，谋划建设长三角（吴江）ESG产业创新中心，培育引进一批绿色低碳咨询服务、新能源检验检测企业和机构，前瞻开展碳足迹认证、绿电溯源等工作，助力外向型企业应对碳关税等绿色贸易壁垒。</w:t>
      </w:r>
      <w:r>
        <w:rPr>
          <w:rFonts w:ascii="仿宋_GB2312" w:hAnsi="仿宋_GB2312" w:eastAsia="仿宋_GB2312" w:cs="仿宋_GB2312"/>
          <w:spacing w:val="0"/>
          <w:sz w:val="32"/>
          <w:szCs w:val="32"/>
          <w:highlight w:val="none"/>
        </w:rPr>
        <w:t>到2030年</w:t>
      </w:r>
      <w:r>
        <w:rPr>
          <w:rFonts w:hint="eastAsia" w:ascii="仿宋_GB2312" w:hAnsi="仿宋_GB2312" w:eastAsia="仿宋_GB2312" w:cs="仿宋_GB2312"/>
          <w:spacing w:val="0"/>
          <w:sz w:val="32"/>
          <w:szCs w:val="32"/>
          <w:highlight w:val="none"/>
          <w:lang w:eastAsia="zh-CN"/>
        </w:rPr>
        <w:t>，</w:t>
      </w:r>
      <w:r>
        <w:rPr>
          <w:rFonts w:hint="eastAsia" w:ascii="仿宋_GB2312" w:hAnsi="仿宋_GB2312" w:eastAsia="仿宋_GB2312" w:cs="仿宋_GB2312"/>
          <w:spacing w:val="0"/>
          <w:sz w:val="32"/>
          <w:szCs w:val="32"/>
          <w:highlight w:val="none"/>
          <w:lang w:val="en-US" w:eastAsia="zh-CN"/>
        </w:rPr>
        <w:t>累计</w:t>
      </w:r>
      <w:r>
        <w:rPr>
          <w:rFonts w:ascii="仿宋_GB2312" w:hAnsi="仿宋_GB2312" w:eastAsia="仿宋_GB2312" w:cs="仿宋_GB2312"/>
          <w:spacing w:val="0"/>
          <w:sz w:val="32"/>
          <w:szCs w:val="32"/>
          <w:highlight w:val="none"/>
        </w:rPr>
        <w:t>培育</w:t>
      </w:r>
      <w:r>
        <w:rPr>
          <w:rFonts w:hint="eastAsia" w:ascii="仿宋_GB2312" w:hAnsi="仿宋_GB2312" w:eastAsia="仿宋_GB2312" w:cs="仿宋_GB2312"/>
          <w:spacing w:val="0"/>
          <w:sz w:val="32"/>
          <w:szCs w:val="32"/>
          <w:highlight w:val="none"/>
          <w:lang w:val="en-US" w:eastAsia="zh-CN"/>
        </w:rPr>
        <w:t>50</w:t>
      </w:r>
      <w:r>
        <w:rPr>
          <w:rFonts w:ascii="仿宋_GB2312" w:hAnsi="仿宋_GB2312" w:eastAsia="仿宋_GB2312" w:cs="仿宋_GB2312"/>
          <w:spacing w:val="0"/>
          <w:sz w:val="32"/>
          <w:szCs w:val="32"/>
          <w:highlight w:val="none"/>
        </w:rPr>
        <w:t>家市级以上零碳（近零碳）工厂</w:t>
      </w:r>
      <w:r>
        <w:rPr>
          <w:rFonts w:hint="eastAsia" w:ascii="仿宋_GB2312" w:hAnsi="仿宋_GB2312" w:eastAsia="仿宋_GB2312" w:cs="仿宋_GB2312"/>
          <w:spacing w:val="0"/>
          <w:sz w:val="32"/>
          <w:szCs w:val="32"/>
          <w:highlight w:val="none"/>
        </w:rPr>
        <w:t>。</w:t>
      </w:r>
    </w:p>
    <w:p w14:paraId="2386F833">
      <w:pPr>
        <w:pStyle w:val="3"/>
        <w:overflowPunct w:val="0"/>
        <w:topLinePunct/>
        <w:spacing w:before="156" w:after="156" w:line="560" w:lineRule="exact"/>
        <w:rPr>
          <w:rFonts w:ascii="楷体_GB2312" w:hAnsi="楷体_GB2312" w:eastAsia="楷体_GB2312" w:cs="楷体_GB2312"/>
          <w:spacing w:val="0"/>
          <w:kern w:val="21"/>
          <w:sz w:val="32"/>
        </w:rPr>
      </w:pPr>
      <w:bookmarkStart w:id="296" w:name="_Toc7124"/>
      <w:bookmarkStart w:id="297" w:name="_Toc400"/>
      <w:bookmarkStart w:id="298" w:name="_Toc5690"/>
      <w:bookmarkStart w:id="299" w:name="_Toc1430745002"/>
      <w:bookmarkStart w:id="300" w:name="_Toc503154166"/>
      <w:r>
        <w:rPr>
          <w:rFonts w:ascii="楷体_GB2312" w:hAnsi="楷体_GB2312" w:eastAsia="楷体_GB2312" w:cs="楷体_GB2312"/>
          <w:spacing w:val="0"/>
          <w:kern w:val="21"/>
          <w:sz w:val="32"/>
        </w:rPr>
        <w:t>第</w:t>
      </w:r>
      <w:r>
        <w:rPr>
          <w:rFonts w:hint="eastAsia" w:ascii="楷体_GB2312" w:hAnsi="楷体_GB2312" w:eastAsia="楷体_GB2312" w:cs="楷体_GB2312"/>
          <w:spacing w:val="0"/>
          <w:kern w:val="21"/>
          <w:sz w:val="32"/>
          <w:lang w:eastAsia="zh-CN"/>
        </w:rPr>
        <w:t>三</w:t>
      </w:r>
      <w:r>
        <w:rPr>
          <w:rFonts w:ascii="楷体_GB2312" w:hAnsi="楷体_GB2312" w:eastAsia="楷体_GB2312" w:cs="楷体_GB2312"/>
          <w:spacing w:val="0"/>
          <w:kern w:val="21"/>
          <w:sz w:val="32"/>
        </w:rPr>
        <w:t>节</w:t>
      </w:r>
      <w:r>
        <w:rPr>
          <w:rFonts w:hint="eastAsia" w:ascii="楷体_GB2312" w:hAnsi="楷体_GB2312" w:eastAsia="楷体_GB2312" w:cs="楷体_GB2312"/>
          <w:spacing w:val="0"/>
          <w:kern w:val="21"/>
          <w:sz w:val="32"/>
          <w:lang w:val="en-US" w:eastAsia="zh-CN"/>
        </w:rPr>
        <w:t xml:space="preserve"> </w:t>
      </w:r>
      <w:r>
        <w:rPr>
          <w:rFonts w:ascii="楷体_GB2312" w:hAnsi="楷体_GB2312" w:eastAsia="楷体_GB2312" w:cs="楷体_GB2312"/>
          <w:spacing w:val="0"/>
          <w:kern w:val="21"/>
          <w:sz w:val="32"/>
        </w:rPr>
        <w:t xml:space="preserve"> 优化交通基础设施建设</w:t>
      </w:r>
      <w:bookmarkEnd w:id="296"/>
      <w:bookmarkEnd w:id="297"/>
      <w:bookmarkEnd w:id="298"/>
      <w:bookmarkEnd w:id="299"/>
      <w:bookmarkEnd w:id="300"/>
    </w:p>
    <w:p w14:paraId="6A1C25E5">
      <w:pPr>
        <w:overflowPunct w:val="0"/>
        <w:topLinePunct/>
        <w:spacing w:line="560" w:lineRule="exact"/>
        <w:ind w:firstLine="640" w:firstLineChars="200"/>
        <w:rPr>
          <w:rFonts w:hint="eastAsia" w:ascii="仿宋_GB2312" w:hAnsi="仿宋_GB2312" w:eastAsia="仿宋_GB2312" w:cs="仿宋_GB2312"/>
          <w:spacing w:val="0"/>
          <w:kern w:val="21"/>
          <w:sz w:val="32"/>
          <w:szCs w:val="32"/>
        </w:rPr>
      </w:pPr>
      <w:r>
        <w:rPr>
          <w:rFonts w:hint="eastAsia" w:ascii="仿宋_GB2312" w:hAnsi="仿宋_GB2312" w:eastAsia="仿宋_GB2312" w:cs="仿宋_GB2312"/>
          <w:spacing w:val="0"/>
          <w:kern w:val="21"/>
          <w:sz w:val="32"/>
          <w:szCs w:val="32"/>
        </w:rPr>
        <w:t>“公铁水空”四路并进，推动交通网络互联互通，优化绿色公共出行体系，推进交通物流降本提质增效，高效串联长三角城市群，构建多模式深度融合、全链条协同管控、全要素智慧赋能的现代化综合立体交通体系。</w:t>
      </w:r>
    </w:p>
    <w:p w14:paraId="78589049">
      <w:pPr>
        <w:overflowPunct w:val="0"/>
        <w:topLinePunct/>
        <w:spacing w:line="560" w:lineRule="exact"/>
        <w:ind w:firstLine="643" w:firstLineChars="200"/>
        <w:rPr>
          <w:rFonts w:hint="eastAsia" w:ascii="仿宋_GB2312" w:hAnsi="仿宋_GB2312" w:eastAsia="仿宋_GB2312" w:cs="仿宋_GB2312"/>
          <w:spacing w:val="0"/>
          <w:kern w:val="21"/>
          <w:sz w:val="32"/>
          <w:szCs w:val="32"/>
        </w:rPr>
      </w:pPr>
      <w:bookmarkStart w:id="301" w:name="_Toc62722179"/>
      <w:bookmarkStart w:id="302" w:name="_Toc20686"/>
      <w:bookmarkStart w:id="303" w:name="_Toc2815"/>
      <w:bookmarkStart w:id="304" w:name="_Toc52199726"/>
      <w:bookmarkStart w:id="305" w:name="_Toc4815"/>
      <w:r>
        <w:rPr>
          <w:rStyle w:val="46"/>
          <w:rFonts w:hint="eastAsia" w:ascii="仿宋_GB2312" w:hAnsi="仿宋_GB2312" w:eastAsia="仿宋_GB2312" w:cs="Times New Roman"/>
          <w:b/>
          <w:bCs/>
          <w:spacing w:val="0"/>
          <w:kern w:val="21"/>
          <w:sz w:val="32"/>
          <w:szCs w:val="32"/>
        </w:rPr>
        <w:t>优化公路布局及等级结构</w:t>
      </w:r>
      <w:bookmarkEnd w:id="301"/>
      <w:bookmarkEnd w:id="302"/>
      <w:bookmarkEnd w:id="303"/>
      <w:bookmarkEnd w:id="304"/>
      <w:bookmarkEnd w:id="305"/>
      <w:r>
        <w:rPr>
          <w:rFonts w:hint="eastAsia" w:ascii="仿宋_GB2312" w:hAnsi="仿宋_GB2312" w:eastAsia="仿宋_GB2312" w:cs="仿宋_GB2312"/>
          <w:b/>
          <w:bCs/>
          <w:spacing w:val="0"/>
          <w:kern w:val="21"/>
          <w:sz w:val="32"/>
          <w:szCs w:val="32"/>
        </w:rPr>
        <w:t>。</w:t>
      </w:r>
      <w:r>
        <w:rPr>
          <w:rFonts w:hint="eastAsia" w:ascii="仿宋_GB2312" w:hAnsi="仿宋_GB2312" w:eastAsia="仿宋_GB2312" w:cs="仿宋_GB2312"/>
          <w:spacing w:val="0"/>
          <w:kern w:val="21"/>
          <w:sz w:val="32"/>
          <w:szCs w:val="32"/>
        </w:rPr>
        <w:t>全力构建高效便捷、内畅外联的现代交通路网体系。打造“两横三纵”高速路网和“三横三纵”快速路网，完成常台高速公路尹山枢纽至苏浙省界段扩建工程，加快苏州至台州高速公路七都至胥口段相关前期工作，推动东太湖大道东延、江陵高架东延、东太湖隧道等重点项目建设，谋划</w:t>
      </w:r>
      <w:r>
        <w:rPr>
          <w:rFonts w:hint="eastAsia" w:ascii="仿宋_GB2312" w:hAnsi="仿宋_GB2312" w:eastAsia="仿宋_GB2312" w:cs="仿宋_GB2312"/>
          <w:spacing w:val="0"/>
          <w:kern w:val="21"/>
          <w:sz w:val="32"/>
          <w:szCs w:val="32"/>
          <w:lang w:eastAsia="zh-CN"/>
        </w:rPr>
        <w:t>东太湖大道快速化改造工程、东环南延快速化改造工程</w:t>
      </w:r>
      <w:r>
        <w:rPr>
          <w:rFonts w:hint="eastAsia" w:ascii="仿宋_GB2312" w:hAnsi="仿宋_GB2312" w:eastAsia="仿宋_GB2312" w:cs="仿宋_GB2312"/>
          <w:spacing w:val="0"/>
          <w:kern w:val="21"/>
          <w:sz w:val="32"/>
          <w:szCs w:val="32"/>
        </w:rPr>
        <w:t>，持续推动苏州湾隧道、230省道太湖新城城区段节点化改造、524国道改线、609省道改造、跨运河通道等项目的方案研究</w:t>
      </w:r>
      <w:r>
        <w:rPr>
          <w:rFonts w:hint="eastAsia" w:ascii="仿宋_GB2312" w:hAnsi="仿宋_GB2312" w:eastAsia="仿宋_GB2312" w:cs="仿宋_GB2312"/>
          <w:spacing w:val="0"/>
          <w:kern w:val="21"/>
          <w:sz w:val="32"/>
          <w:szCs w:val="32"/>
          <w:lang w:eastAsia="zh-CN"/>
        </w:rPr>
        <w:t>。</w:t>
      </w:r>
      <w:r>
        <w:rPr>
          <w:rFonts w:hint="eastAsia" w:ascii="仿宋_GB2312" w:hAnsi="仿宋_GB2312" w:eastAsia="仿宋_GB2312" w:cs="仿宋_GB2312"/>
          <w:spacing w:val="0"/>
          <w:kern w:val="21"/>
          <w:sz w:val="32"/>
          <w:szCs w:val="32"/>
        </w:rPr>
        <w:t>规划形成“七纵七横七连”县道公路布局，不断优化乡村道规模结构，进一步推动农村公路高质量发展</w:t>
      </w:r>
      <w:r>
        <w:rPr>
          <w:rFonts w:hint="eastAsia" w:ascii="仿宋_GB2312" w:hAnsi="仿宋_GB2312" w:eastAsia="仿宋_GB2312" w:cs="仿宋_GB2312"/>
          <w:spacing w:val="0"/>
          <w:kern w:val="21"/>
          <w:sz w:val="32"/>
          <w:szCs w:val="32"/>
          <w:lang w:eastAsia="zh-CN"/>
        </w:rPr>
        <w:t>，</w:t>
      </w:r>
      <w:r>
        <w:rPr>
          <w:rFonts w:hint="eastAsia" w:ascii="仿宋_GB2312" w:hAnsi="仿宋_GB2312" w:eastAsia="仿宋_GB2312" w:cs="仿宋_GB2312"/>
          <w:spacing w:val="0"/>
          <w:kern w:val="21"/>
          <w:sz w:val="32"/>
          <w:szCs w:val="32"/>
        </w:rPr>
        <w:t>完成吴江大道与江城大道交叉口改造工程和通苏嘉甬4条涉铁道路，推进莘七线跨常台高速连接线工程</w:t>
      </w:r>
      <w:r>
        <w:rPr>
          <w:rFonts w:hint="eastAsia" w:ascii="仿宋_GB2312" w:hAnsi="仿宋_GB2312" w:eastAsia="仿宋_GB2312" w:cs="仿宋_GB2312"/>
          <w:spacing w:val="0"/>
          <w:kern w:val="21"/>
          <w:sz w:val="32"/>
          <w:szCs w:val="32"/>
          <w:lang w:eastAsia="zh-CN"/>
        </w:rPr>
        <w:t>、盛八线改建一期工程</w:t>
      </w:r>
      <w:r>
        <w:rPr>
          <w:rFonts w:hint="eastAsia" w:ascii="仿宋_GB2312" w:hAnsi="仿宋_GB2312" w:eastAsia="仿宋_GB2312" w:cs="仿宋_GB2312"/>
          <w:spacing w:val="0"/>
          <w:kern w:val="21"/>
          <w:sz w:val="32"/>
          <w:szCs w:val="32"/>
        </w:rPr>
        <w:t>等县道节点建设，开展松桃线改扩建工程等方案研究。</w:t>
      </w:r>
    </w:p>
    <w:p w14:paraId="1842C1F1">
      <w:pPr>
        <w:overflowPunct w:val="0"/>
        <w:topLinePunct/>
        <w:spacing w:line="560" w:lineRule="exact"/>
        <w:ind w:firstLine="643" w:firstLineChars="200"/>
        <w:rPr>
          <w:rFonts w:hint="eastAsia" w:ascii="仿宋_GB2312" w:hAnsi="仿宋_GB2312" w:eastAsia="仿宋_GB2312" w:cs="仿宋_GB2312"/>
          <w:spacing w:val="0"/>
          <w:kern w:val="21"/>
          <w:sz w:val="32"/>
          <w:szCs w:val="32"/>
        </w:rPr>
      </w:pPr>
      <w:bookmarkStart w:id="306" w:name="_Toc4297"/>
      <w:bookmarkStart w:id="307" w:name="_Toc1258259397"/>
      <w:bookmarkStart w:id="308" w:name="_Toc25118"/>
      <w:bookmarkStart w:id="309" w:name="_Toc1374962654"/>
      <w:bookmarkStart w:id="310" w:name="_Toc4010"/>
      <w:r>
        <w:rPr>
          <w:rStyle w:val="46"/>
          <w:rFonts w:hint="eastAsia" w:ascii="仿宋_GB2312" w:hAnsi="仿宋_GB2312" w:eastAsia="仿宋_GB2312" w:cs="Times New Roman"/>
          <w:b/>
          <w:bCs/>
          <w:spacing w:val="0"/>
          <w:kern w:val="21"/>
          <w:sz w:val="32"/>
          <w:szCs w:val="32"/>
        </w:rPr>
        <w:t>构建多层次轨道交通网</w:t>
      </w:r>
      <w:bookmarkEnd w:id="306"/>
      <w:bookmarkEnd w:id="307"/>
      <w:bookmarkEnd w:id="308"/>
      <w:bookmarkEnd w:id="309"/>
      <w:bookmarkEnd w:id="310"/>
      <w:r>
        <w:rPr>
          <w:rFonts w:hint="eastAsia" w:ascii="仿宋_GB2312" w:hAnsi="仿宋_GB2312" w:eastAsia="仿宋_GB2312" w:cs="仿宋_GB2312"/>
          <w:b/>
          <w:bCs/>
          <w:spacing w:val="0"/>
          <w:kern w:val="21"/>
          <w:sz w:val="32"/>
          <w:szCs w:val="32"/>
        </w:rPr>
        <w:t>。</w:t>
      </w:r>
      <w:r>
        <w:rPr>
          <w:rFonts w:hint="eastAsia" w:ascii="仿宋_GB2312" w:hAnsi="仿宋_GB2312" w:eastAsia="仿宋_GB2312" w:cs="仿宋_GB2312"/>
          <w:spacing w:val="0"/>
          <w:kern w:val="21"/>
          <w:sz w:val="32"/>
          <w:szCs w:val="32"/>
        </w:rPr>
        <w:t>全力保障通苏嘉甬高铁、水乡旅游线城际铁路如期建成，加快推进如通苏湖城际铁路</w:t>
      </w:r>
      <w:r>
        <w:rPr>
          <w:rFonts w:hint="eastAsia" w:ascii="仿宋_GB2312" w:eastAsia="仿宋_GB2312"/>
          <w:spacing w:val="0"/>
          <w:kern w:val="21"/>
          <w:sz w:val="32"/>
          <w:szCs w:val="32"/>
        </w:rPr>
        <w:t>建设。</w:t>
      </w:r>
      <w:r>
        <w:rPr>
          <w:rFonts w:hint="eastAsia" w:ascii="仿宋_GB2312" w:eastAsia="仿宋_GB2312"/>
          <w:spacing w:val="0"/>
          <w:kern w:val="21"/>
          <w:sz w:val="32"/>
          <w:szCs w:val="32"/>
          <w:lang w:eastAsia="zh-CN"/>
        </w:rPr>
        <w:t>协同推动</w:t>
      </w:r>
      <w:r>
        <w:rPr>
          <w:rFonts w:hint="eastAsia" w:ascii="仿宋_GB2312" w:hAnsi="仿宋_GB2312" w:eastAsia="仿宋_GB2312" w:cs="仿宋_GB2312"/>
          <w:spacing w:val="0"/>
          <w:kern w:val="21"/>
          <w:sz w:val="32"/>
          <w:szCs w:val="32"/>
        </w:rPr>
        <w:t>苏州</w:t>
      </w:r>
      <w:r>
        <w:rPr>
          <w:rFonts w:hint="eastAsia" w:ascii="仿宋_GB2312" w:eastAsia="仿宋_GB2312"/>
          <w:spacing w:val="0"/>
          <w:kern w:val="21"/>
          <w:sz w:val="32"/>
          <w:szCs w:val="32"/>
        </w:rPr>
        <w:t>地铁14号线前期工作，开展苏州南站</w:t>
      </w:r>
      <w:r>
        <w:rPr>
          <w:rFonts w:hint="eastAsia" w:ascii="仿宋_GB2312" w:eastAsia="仿宋_GB2312"/>
          <w:spacing w:val="0"/>
          <w:kern w:val="21"/>
          <w:sz w:val="32"/>
          <w:szCs w:val="32"/>
          <w:lang w:val="en-US" w:eastAsia="zh-CN"/>
        </w:rPr>
        <w:t>与主城区轨道直连</w:t>
      </w:r>
      <w:r>
        <w:rPr>
          <w:rFonts w:hint="eastAsia" w:ascii="仿宋_GB2312" w:eastAsia="仿宋_GB2312"/>
          <w:spacing w:val="0"/>
          <w:kern w:val="21"/>
          <w:sz w:val="32"/>
          <w:szCs w:val="32"/>
        </w:rPr>
        <w:t>、苏州南站与上海17号线互通等重要线位研究论证。</w:t>
      </w:r>
      <w:r>
        <w:rPr>
          <w:rFonts w:hint="eastAsia" w:ascii="仿宋_GB2312" w:hAnsi="仿宋_GB2312" w:eastAsia="仿宋_GB2312" w:cs="仿宋_GB2312"/>
          <w:spacing w:val="0"/>
          <w:kern w:val="21"/>
          <w:sz w:val="32"/>
          <w:szCs w:val="32"/>
        </w:rPr>
        <w:t>加快苏州南站、盛泽站等枢纽集疏运系统建设，完善交通一体化运营机制，实现各类交通要素全方位无缝衔接和</w:t>
      </w:r>
      <w:r>
        <w:rPr>
          <w:rFonts w:hint="eastAsia" w:ascii="仿宋_GB2312" w:hAnsi="仿宋_GB2312" w:eastAsia="仿宋_GB2312" w:cs="仿宋_GB2312"/>
          <w:spacing w:val="0"/>
          <w:kern w:val="21"/>
          <w:sz w:val="32"/>
          <w:szCs w:val="32"/>
          <w:lang w:bidi="ar"/>
        </w:rPr>
        <w:t>便捷换乘</w:t>
      </w:r>
      <w:r>
        <w:rPr>
          <w:rFonts w:hint="eastAsia" w:ascii="仿宋_GB2312" w:hAnsi="仿宋_GB2312" w:eastAsia="仿宋_GB2312" w:cs="仿宋_GB2312"/>
          <w:spacing w:val="0"/>
          <w:kern w:val="21"/>
          <w:sz w:val="32"/>
          <w:szCs w:val="32"/>
        </w:rPr>
        <w:t>。</w:t>
      </w:r>
    </w:p>
    <w:p w14:paraId="4BC852F3">
      <w:pPr>
        <w:overflowPunct w:val="0"/>
        <w:topLinePunct/>
        <w:spacing w:line="560" w:lineRule="exact"/>
        <w:ind w:firstLine="643" w:firstLineChars="200"/>
        <w:rPr>
          <w:rStyle w:val="46"/>
          <w:rFonts w:hint="eastAsia" w:ascii="仿宋_GB2312" w:hAnsi="仿宋_GB2312" w:eastAsia="仿宋_GB2312" w:cs="Times New Roman"/>
          <w:b/>
          <w:bCs/>
          <w:spacing w:val="0"/>
          <w:kern w:val="21"/>
          <w:sz w:val="32"/>
          <w:szCs w:val="32"/>
        </w:rPr>
      </w:pPr>
      <w:bookmarkStart w:id="311" w:name="_Toc8236"/>
      <w:bookmarkStart w:id="312" w:name="_Toc1533345977"/>
      <w:bookmarkStart w:id="313" w:name="_Toc298762182"/>
      <w:bookmarkStart w:id="314" w:name="_Toc29023"/>
      <w:bookmarkStart w:id="315" w:name="_Toc11813"/>
      <w:r>
        <w:rPr>
          <w:rStyle w:val="46"/>
          <w:rFonts w:hint="eastAsia" w:ascii="仿宋_GB2312" w:hAnsi="仿宋_GB2312" w:eastAsia="仿宋_GB2312" w:cs="Times New Roman"/>
          <w:b/>
          <w:bCs/>
          <w:spacing w:val="0"/>
          <w:kern w:val="21"/>
          <w:sz w:val="32"/>
          <w:szCs w:val="32"/>
        </w:rPr>
        <w:t>夯实水运优势基础</w:t>
      </w:r>
      <w:bookmarkEnd w:id="311"/>
      <w:bookmarkEnd w:id="312"/>
      <w:bookmarkEnd w:id="313"/>
      <w:bookmarkEnd w:id="314"/>
      <w:bookmarkEnd w:id="315"/>
      <w:r>
        <w:rPr>
          <w:rFonts w:hint="eastAsia" w:ascii="仿宋_GB2312" w:hAnsi="仿宋_GB2312" w:eastAsia="仿宋_GB2312" w:cs="仿宋_GB2312"/>
          <w:b/>
          <w:bCs/>
          <w:spacing w:val="0"/>
          <w:kern w:val="21"/>
          <w:sz w:val="32"/>
          <w:szCs w:val="32"/>
        </w:rPr>
        <w:t>。</w:t>
      </w:r>
      <w:r>
        <w:rPr>
          <w:rFonts w:hint="eastAsia" w:ascii="仿宋_GB2312" w:hAnsi="仿宋_GB2312" w:eastAsia="仿宋_GB2312" w:cs="仿宋_GB2312"/>
          <w:spacing w:val="0"/>
          <w:kern w:val="21"/>
          <w:sz w:val="32"/>
          <w:szCs w:val="32"/>
        </w:rPr>
        <w:t>以京杭运河为核心，构建“干支相连、通江达海”的三级及以上高等级干线航道网，促进内河港口规模化、专业化发展，助力打造更具特色的“水运江苏”。推进长湖申线、苏南运河二级航道整治，建成平望大桥和芦墟大桥，推动汾湖大桥改建。开展麻溪港二级航道、乍嘉苏线航道整治工程研究。加快长三角（汾湖）、长三角（盛泽）现代供应链产业园建设，打造上海港“前置港”。加强与其他沿江、沿海及内陆无水港合作，拓展多式联运示范线路。推动重要节点水上通勤“快旅”、核心景区水上游览“漫游”，构建“驿馆-驿站-驿亭”服务体系，打造三大游船集散中心。</w:t>
      </w:r>
      <w:bookmarkStart w:id="316" w:name="_Toc585905609"/>
      <w:bookmarkStart w:id="317" w:name="_Toc218425928"/>
      <w:bookmarkStart w:id="318" w:name="_Toc24311"/>
    </w:p>
    <w:p w14:paraId="246E69B5">
      <w:pPr>
        <w:overflowPunct w:val="0"/>
        <w:topLinePunct/>
        <w:spacing w:line="560" w:lineRule="exact"/>
        <w:ind w:firstLine="643" w:firstLineChars="200"/>
        <w:rPr>
          <w:rFonts w:hint="eastAsia" w:ascii="仿宋_GB2312" w:hAnsi="仿宋_GB2312" w:eastAsia="仿宋_GB2312" w:cs="仿宋_GB2312"/>
          <w:spacing w:val="0"/>
          <w:kern w:val="21"/>
          <w:sz w:val="32"/>
          <w:szCs w:val="32"/>
        </w:rPr>
      </w:pPr>
      <w:bookmarkStart w:id="319" w:name="_Toc683"/>
      <w:bookmarkStart w:id="320" w:name="_Toc9279"/>
      <w:r>
        <w:rPr>
          <w:rStyle w:val="46"/>
          <w:rFonts w:hint="eastAsia" w:ascii="仿宋_GB2312" w:hAnsi="仿宋_GB2312" w:eastAsia="仿宋_GB2312" w:cs="Times New Roman"/>
          <w:b/>
          <w:bCs/>
          <w:spacing w:val="0"/>
          <w:kern w:val="21"/>
          <w:sz w:val="32"/>
          <w:szCs w:val="32"/>
        </w:rPr>
        <w:t>开辟低空交通发展新格局</w:t>
      </w:r>
      <w:bookmarkEnd w:id="316"/>
      <w:bookmarkEnd w:id="317"/>
      <w:bookmarkEnd w:id="318"/>
      <w:bookmarkEnd w:id="319"/>
      <w:bookmarkEnd w:id="320"/>
      <w:r>
        <w:rPr>
          <w:rFonts w:hint="eastAsia" w:ascii="仿宋_GB2312" w:hAnsi="仿宋_GB2312" w:eastAsia="仿宋_GB2312" w:cs="仿宋_GB2312"/>
          <w:b/>
          <w:bCs/>
          <w:spacing w:val="0"/>
          <w:kern w:val="21"/>
          <w:sz w:val="32"/>
          <w:szCs w:val="32"/>
        </w:rPr>
        <w:t>。</w:t>
      </w:r>
      <w:r>
        <w:rPr>
          <w:rFonts w:hint="eastAsia" w:ascii="仿宋_GB2312" w:hAnsi="仿宋_GB2312" w:eastAsia="仿宋_GB2312" w:cs="仿宋_GB2312"/>
          <w:color w:val="auto"/>
          <w:sz w:val="32"/>
          <w:szCs w:val="32"/>
          <w:highlight w:val="none"/>
          <w:lang w:val="en-US" w:eastAsia="zh-CN"/>
        </w:rPr>
        <w:t>构建</w:t>
      </w:r>
      <w:r>
        <w:rPr>
          <w:rFonts w:hint="eastAsia" w:ascii="仿宋_GB2312" w:hAnsi="仿宋_GB2312" w:eastAsia="仿宋_GB2312" w:cs="仿宋_GB2312"/>
          <w:color w:val="auto"/>
          <w:sz w:val="32"/>
          <w:szCs w:val="32"/>
          <w:highlight w:val="none"/>
          <w:lang w:eastAsia="zh-CN"/>
        </w:rPr>
        <w:t>全方位低空基础设施网络，</w:t>
      </w:r>
      <w:r>
        <w:rPr>
          <w:rFonts w:hint="eastAsia" w:ascii="仿宋_GB2312" w:hAnsi="仿宋_GB2312" w:eastAsia="仿宋_GB2312" w:cs="仿宋_GB2312"/>
          <w:color w:val="auto"/>
          <w:sz w:val="32"/>
          <w:szCs w:val="32"/>
          <w:highlight w:val="none"/>
          <w:lang w:val="en-US" w:eastAsia="zh-CN"/>
        </w:rPr>
        <w:t>布局一批</w:t>
      </w:r>
      <w:r>
        <w:rPr>
          <w:rFonts w:hint="eastAsia" w:ascii="仿宋_GB2312" w:hAnsi="仿宋_GB2312" w:eastAsia="仿宋_GB2312" w:cs="仿宋_GB2312"/>
          <w:color w:val="auto"/>
          <w:sz w:val="32"/>
          <w:szCs w:val="32"/>
          <w:highlight w:val="none"/>
          <w:lang w:eastAsia="zh-CN"/>
        </w:rPr>
        <w:t>覆盖直升机、eVTOL（电动垂直起降飞行器）、无人机等各类低空飞行器，具备多样化应用场景功能的低空飞行融合基地，建设一批通信、导航、监视及气象配套基础设施，布设</w:t>
      </w:r>
      <w:r>
        <w:rPr>
          <w:rFonts w:hint="eastAsia" w:ascii="仿宋_GB2312" w:hAnsi="仿宋_GB2312" w:eastAsia="仿宋_GB2312" w:cs="仿宋_GB2312"/>
          <w:color w:val="auto"/>
          <w:sz w:val="32"/>
          <w:szCs w:val="32"/>
          <w:highlight w:val="none"/>
          <w:lang w:val="en-US" w:eastAsia="zh-CN"/>
        </w:rPr>
        <w:t>一批</w:t>
      </w:r>
      <w:r>
        <w:rPr>
          <w:rFonts w:hint="eastAsia" w:ascii="仿宋_GB2312" w:hAnsi="仿宋_GB2312" w:eastAsia="仿宋_GB2312" w:cs="仿宋_GB2312"/>
          <w:color w:val="auto"/>
          <w:sz w:val="32"/>
          <w:szCs w:val="32"/>
          <w:highlight w:val="none"/>
          <w:lang w:eastAsia="zh-CN"/>
        </w:rPr>
        <w:t>低空飞行起降点</w:t>
      </w:r>
      <w:r>
        <w:rPr>
          <w:rFonts w:hint="eastAsia" w:ascii="仿宋_GB2312" w:hAnsi="仿宋_GB2312" w:eastAsia="仿宋_GB2312" w:cs="仿宋_GB2312"/>
          <w:color w:val="auto"/>
          <w:sz w:val="32"/>
          <w:szCs w:val="32"/>
          <w:highlight w:val="none"/>
          <w:u w:val="none"/>
        </w:rPr>
        <w:t>。</w:t>
      </w:r>
      <w:r>
        <w:rPr>
          <w:rFonts w:hint="eastAsia" w:ascii="仿宋_GB2312" w:hAnsi="仿宋_GB2312" w:eastAsia="仿宋_GB2312" w:cs="仿宋_GB2312"/>
          <w:spacing w:val="0"/>
          <w:kern w:val="21"/>
          <w:sz w:val="32"/>
          <w:szCs w:val="32"/>
        </w:rPr>
        <w:t>开通更多通用航空短途运输航线、城市公共治理航线，</w:t>
      </w:r>
      <w:r>
        <w:rPr>
          <w:rFonts w:hint="eastAsia" w:ascii="仿宋_GB2312" w:hAnsi="仿宋_GB2312" w:eastAsia="仿宋_GB2312" w:cs="仿宋_GB2312"/>
          <w:spacing w:val="0"/>
          <w:kern w:val="21"/>
          <w:sz w:val="32"/>
          <w:szCs w:val="32"/>
          <w:lang w:val="en-US" w:eastAsia="zh-CN"/>
        </w:rPr>
        <w:t>拓展</w:t>
      </w:r>
      <w:r>
        <w:rPr>
          <w:rFonts w:hint="eastAsia" w:ascii="仿宋_GB2312" w:hAnsi="仿宋_GB2312" w:eastAsia="仿宋_GB2312" w:cs="仿宋_GB2312"/>
          <w:spacing w:val="0"/>
          <w:kern w:val="21"/>
          <w:sz w:val="32"/>
          <w:szCs w:val="32"/>
        </w:rPr>
        <w:t>无人机巡检、低空载人飞行、应急救援、智慧物流配送、公共服务与治理等场景应用。完善低空飞行服务站与无人机、直升机等各类低空飞行器的综合监管服务平台，保障城市空中交通安全。</w:t>
      </w:r>
    </w:p>
    <w:p w14:paraId="65071A83">
      <w:pPr>
        <w:overflowPunct w:val="0"/>
        <w:topLinePunct/>
        <w:spacing w:line="560" w:lineRule="exact"/>
        <w:ind w:firstLine="640" w:firstLineChars="200"/>
        <w:rPr>
          <w:rFonts w:hint="eastAsia" w:ascii="仿宋_GB2312" w:hAnsi="仿宋_GB2312" w:eastAsia="仿宋_GB2312" w:cs="仿宋_GB2312"/>
          <w:spacing w:val="0"/>
          <w:kern w:val="21"/>
          <w:sz w:val="32"/>
          <w:szCs w:val="32"/>
          <w:highlight w:val="yellow"/>
          <w:lang w:eastAsia="zh-CN"/>
        </w:rPr>
        <w:sectPr>
          <w:pgSz w:w="11906" w:h="16838"/>
          <w:pgMar w:top="1928" w:right="1531" w:bottom="1701" w:left="1531" w:header="0" w:footer="992" w:gutter="0"/>
          <w:pgNumType w:fmt="decimal"/>
          <w:cols w:space="0" w:num="1"/>
          <w:rtlGutter w:val="0"/>
          <w:docGrid w:type="lines" w:linePitch="312" w:charSpace="0"/>
        </w:sectPr>
      </w:pPr>
    </w:p>
    <w:p w14:paraId="7067597B">
      <w:pPr>
        <w:pStyle w:val="2"/>
        <w:numPr>
          <w:ilvl w:val="255"/>
          <w:numId w:val="0"/>
        </w:numPr>
        <w:overflowPunct w:val="0"/>
        <w:topLinePunct/>
        <w:spacing w:line="560" w:lineRule="exact"/>
        <w:rPr>
          <w:kern w:val="21"/>
        </w:rPr>
      </w:pPr>
      <w:bookmarkStart w:id="321" w:name="_Toc978516182"/>
      <w:bookmarkStart w:id="322" w:name="_Toc4196"/>
      <w:bookmarkStart w:id="323" w:name="_Toc21844"/>
      <w:bookmarkStart w:id="324" w:name="_Toc1798081370"/>
      <w:bookmarkStart w:id="325" w:name="_Toc121"/>
      <w:r>
        <w:rPr>
          <w:rFonts w:hint="eastAsia"/>
          <w:kern w:val="21"/>
        </w:rPr>
        <w:t>第</w:t>
      </w:r>
      <w:r>
        <w:rPr>
          <w:rFonts w:hint="eastAsia"/>
          <w:kern w:val="21"/>
          <w:lang w:eastAsia="zh-CN"/>
        </w:rPr>
        <w:t>七</w:t>
      </w:r>
      <w:r>
        <w:rPr>
          <w:rFonts w:hint="eastAsia"/>
          <w:kern w:val="21"/>
        </w:rPr>
        <w:t xml:space="preserve">章  </w:t>
      </w:r>
      <w:r>
        <w:rPr>
          <w:rFonts w:hint="eastAsia" w:ascii="黑体" w:hAnsi="黑体" w:eastAsia="黑体" w:cs="黑体"/>
          <w:color w:val="auto"/>
          <w:sz w:val="32"/>
          <w:szCs w:val="32"/>
          <w:lang w:val="en-US" w:eastAsia="zh-CN"/>
        </w:rPr>
        <w:t>以经济体制改革为牵引，不断激发高质量发展动力活力</w:t>
      </w:r>
      <w:bookmarkEnd w:id="321"/>
      <w:bookmarkEnd w:id="322"/>
      <w:bookmarkEnd w:id="323"/>
      <w:bookmarkEnd w:id="324"/>
      <w:bookmarkEnd w:id="325"/>
    </w:p>
    <w:p w14:paraId="46F5B2DF">
      <w:pPr>
        <w:overflowPunct w:val="0"/>
        <w:topLinePunct/>
        <w:spacing w:line="560" w:lineRule="exact"/>
        <w:ind w:firstLine="640" w:firstLineChars="200"/>
        <w:rPr>
          <w:rFonts w:hint="eastAsia" w:ascii="仿宋_GB2312" w:hAnsi="仿宋_GB2312" w:eastAsia="仿宋_GB2312" w:cs="仿宋_GB2312"/>
          <w:kern w:val="21"/>
          <w:sz w:val="32"/>
          <w:szCs w:val="32"/>
          <w:highlight w:val="yellow"/>
          <w:lang w:eastAsia="zh-CN"/>
        </w:rPr>
      </w:pPr>
    </w:p>
    <w:p w14:paraId="74AFC346">
      <w:pPr>
        <w:keepNext w:val="0"/>
        <w:keepLines w:val="0"/>
        <w:pageBreakBefore w:val="0"/>
        <w:widowControl w:val="0"/>
        <w:kinsoku/>
        <w:wordWrap/>
        <w:overflowPunct w:val="0"/>
        <w:topLinePunct/>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坚持统筹抓好重要领域和关键环节改革，落实苏州改革攻坚工程，增强改革系统性整体性协同性，激发各类经营主体的内生动力和市场活力，推动高质量发展行稳致远。</w:t>
      </w:r>
    </w:p>
    <w:p w14:paraId="7E9B8452">
      <w:pPr>
        <w:pStyle w:val="3"/>
        <w:overflowPunct w:val="0"/>
        <w:topLinePunct/>
        <w:spacing w:before="156" w:after="156" w:line="560" w:lineRule="exact"/>
        <w:rPr>
          <w:rFonts w:hint="eastAsia" w:ascii="楷体_GB2312" w:hAnsi="楷体_GB2312" w:eastAsia="楷体_GB2312" w:cs="楷体_GB2312"/>
          <w:kern w:val="21"/>
          <w:lang w:eastAsia="zh-CN"/>
        </w:rPr>
      </w:pPr>
      <w:bookmarkStart w:id="326" w:name="_Toc22327"/>
      <w:bookmarkStart w:id="327" w:name="_Toc17199"/>
      <w:bookmarkStart w:id="328" w:name="_Toc11586"/>
      <w:bookmarkStart w:id="329" w:name="_Toc1426478119"/>
      <w:bookmarkStart w:id="330" w:name="_Toc26123"/>
      <w:bookmarkStart w:id="331" w:name="_Toc952015701"/>
      <w:bookmarkStart w:id="332" w:name="_Toc12161"/>
      <w:r>
        <w:rPr>
          <w:rFonts w:ascii="楷体_GB2312" w:hAnsi="楷体_GB2312" w:eastAsia="楷体_GB2312" w:cs="楷体_GB2312"/>
          <w:kern w:val="21"/>
        </w:rPr>
        <w:t>第</w:t>
      </w:r>
      <w:r>
        <w:rPr>
          <w:rFonts w:hint="eastAsia" w:ascii="楷体_GB2312" w:hAnsi="楷体_GB2312" w:eastAsia="楷体_GB2312" w:cs="楷体_GB2312"/>
          <w:kern w:val="21"/>
          <w:lang w:eastAsia="zh-CN"/>
        </w:rPr>
        <w:t>一</w:t>
      </w:r>
      <w:r>
        <w:rPr>
          <w:rFonts w:ascii="楷体_GB2312" w:hAnsi="楷体_GB2312" w:eastAsia="楷体_GB2312" w:cs="楷体_GB2312"/>
          <w:kern w:val="21"/>
        </w:rPr>
        <w:t xml:space="preserve">节 </w:t>
      </w:r>
      <w:bookmarkEnd w:id="326"/>
      <w:bookmarkEnd w:id="327"/>
      <w:r>
        <w:rPr>
          <w:rFonts w:hint="eastAsia" w:ascii="楷体_GB2312" w:hAnsi="楷体_GB2312" w:eastAsia="楷体_GB2312" w:cs="楷体_GB2312"/>
          <w:kern w:val="21"/>
          <w:lang w:val="en-US" w:eastAsia="zh-CN"/>
        </w:rPr>
        <w:t xml:space="preserve"> </w:t>
      </w:r>
      <w:r>
        <w:rPr>
          <w:rFonts w:hint="eastAsia" w:ascii="楷体_GB2312" w:hAnsi="楷体_GB2312" w:eastAsia="楷体_GB2312" w:cs="楷体_GB2312"/>
          <w:kern w:val="21"/>
          <w:lang w:eastAsia="zh-CN"/>
        </w:rPr>
        <w:t>坚持和落实“两个毫不动摇”</w:t>
      </w:r>
      <w:bookmarkEnd w:id="328"/>
      <w:bookmarkEnd w:id="329"/>
      <w:bookmarkEnd w:id="330"/>
      <w:bookmarkEnd w:id="331"/>
      <w:bookmarkEnd w:id="332"/>
    </w:p>
    <w:p w14:paraId="5CA4F565">
      <w:pPr>
        <w:overflowPunct w:val="0"/>
        <w:topLinePunct/>
        <w:spacing w:line="560" w:lineRule="exact"/>
        <w:ind w:firstLine="640" w:firstLineChars="200"/>
        <w:rPr>
          <w:rFonts w:hint="eastAsia" w:ascii="仿宋_GB2312" w:hAnsi="仿宋_GB2312" w:eastAsia="仿宋_GB2312" w:cs="仿宋_GB2312"/>
          <w:b w:val="0"/>
          <w:bCs w:val="0"/>
          <w:kern w:val="21"/>
          <w:sz w:val="32"/>
          <w:szCs w:val="32"/>
          <w:highlight w:val="none"/>
          <w:lang w:eastAsia="zh-CN"/>
        </w:rPr>
      </w:pPr>
      <w:r>
        <w:rPr>
          <w:rFonts w:hint="eastAsia" w:ascii="仿宋_GB2312" w:hAnsi="仿宋_GB2312" w:eastAsia="仿宋_GB2312" w:cs="仿宋_GB2312"/>
          <w:b w:val="0"/>
          <w:bCs w:val="0"/>
          <w:kern w:val="21"/>
          <w:sz w:val="32"/>
          <w:szCs w:val="32"/>
          <w:highlight w:val="none"/>
          <w:lang w:eastAsia="zh-CN"/>
        </w:rPr>
        <w:t>促进各种所有制经济优势互补、共同发展，深化国资国企改革，发展壮大民营经济，完善金融服务体系，充分激发各类经营主体活力。</w:t>
      </w:r>
    </w:p>
    <w:p w14:paraId="6843B9C2">
      <w:pPr>
        <w:overflowPunct w:val="0"/>
        <w:topLinePunct/>
        <w:spacing w:line="560" w:lineRule="exact"/>
        <w:ind w:firstLine="643" w:firstLineChars="200"/>
        <w:rPr>
          <w:rFonts w:hint="default" w:ascii="仿宋_GB2312" w:hAnsi="仿宋_GB2312" w:eastAsia="仿宋_GB2312" w:cs="仿宋_GB2312"/>
          <w:b w:val="0"/>
          <w:bCs w:val="0"/>
          <w:kern w:val="21"/>
          <w:sz w:val="32"/>
          <w:szCs w:val="32"/>
          <w:highlight w:val="yellow"/>
          <w:lang w:val="en-US" w:eastAsia="zh-CN"/>
        </w:rPr>
      </w:pPr>
      <w:bookmarkStart w:id="333" w:name="_Toc19222"/>
      <w:bookmarkStart w:id="334" w:name="_Toc19794"/>
      <w:bookmarkStart w:id="335" w:name="_Toc1396339006"/>
      <w:bookmarkStart w:id="336" w:name="_Toc518685788"/>
      <w:bookmarkStart w:id="337" w:name="_Toc3600"/>
      <w:r>
        <w:rPr>
          <w:rStyle w:val="46"/>
          <w:rFonts w:hint="eastAsia" w:ascii="仿宋_GB2312" w:hAnsi="仿宋_GB2312" w:eastAsia="仿宋_GB2312" w:cs="Times New Roman"/>
          <w:b/>
          <w:bCs/>
          <w:kern w:val="21"/>
          <w:sz w:val="32"/>
          <w:szCs w:val="32"/>
          <w:lang w:eastAsia="zh-CN"/>
        </w:rPr>
        <w:t>深化国资国企改革</w:t>
      </w:r>
      <w:bookmarkEnd w:id="333"/>
      <w:bookmarkEnd w:id="334"/>
      <w:bookmarkEnd w:id="335"/>
      <w:bookmarkEnd w:id="336"/>
      <w:bookmarkEnd w:id="337"/>
      <w:r>
        <w:rPr>
          <w:rFonts w:hint="eastAsia" w:ascii="仿宋_GB2312" w:hAnsi="仿宋_GB2312" w:eastAsia="仿宋_GB2312" w:cs="仿宋_GB2312"/>
          <w:b/>
          <w:bCs/>
          <w:kern w:val="21"/>
          <w:sz w:val="32"/>
          <w:szCs w:val="32"/>
          <w:highlight w:val="none"/>
          <w:lang w:eastAsia="zh-CN"/>
        </w:rPr>
        <w:t>。</w:t>
      </w:r>
      <w:r>
        <w:rPr>
          <w:rFonts w:hint="eastAsia" w:ascii="仿宋_GB2312" w:hAnsi="仿宋_GB2312" w:eastAsia="仿宋_GB2312" w:cs="仿宋_GB2312"/>
          <w:kern w:val="21"/>
          <w:sz w:val="32"/>
          <w:szCs w:val="32"/>
          <w:highlight w:val="none"/>
        </w:rPr>
        <w:t>做强做优做大国有资本和国有企业，切实增强核心功能，提升核心竞争力。加快国有经济布局优化和结构调整，</w:t>
      </w:r>
      <w:r>
        <w:rPr>
          <w:rFonts w:hint="eastAsia" w:ascii="仿宋_GB2312" w:hAnsi="仿宋_GB2312" w:eastAsia="仿宋_GB2312" w:cs="仿宋_GB2312"/>
          <w:kern w:val="21"/>
          <w:sz w:val="32"/>
          <w:szCs w:val="32"/>
          <w:highlight w:val="none"/>
          <w:lang w:val="en-US" w:eastAsia="zh-CN"/>
        </w:rPr>
        <w:t>推</w:t>
      </w:r>
      <w:r>
        <w:rPr>
          <w:rFonts w:hint="eastAsia" w:ascii="仿宋_GB2312" w:hAnsi="仿宋_GB2312" w:eastAsia="仿宋_GB2312" w:cs="仿宋_GB2312"/>
          <w:kern w:val="21"/>
          <w:sz w:val="32"/>
          <w:szCs w:val="32"/>
          <w:highlight w:val="none"/>
        </w:rPr>
        <w:t>进国有资本向重点产业、重要行业和关键领域集中，更好服务高质量发展大局。健全中国特色现代企业制度，推动国有企业经营机制市场化改革。坚持“一主多元”发展，推动区属国企结合主责主业发展新兴产业和未来产业。高水平运营苏州湾创投壹号，充分发挥基金的杠杆撬动作用，不断增强长三角智创科技园、长融智+汾湖智能制造产业园等载体的产业培育和创新孵化能力，全力支撑区域产业招大引强。规范国有企业劳动用工管理，健全国有企业考核评价体系，深化收入分配机制改革。以管资本为主加强国资监管，健全协同高效的国有资产监督体系。</w:t>
      </w:r>
    </w:p>
    <w:p w14:paraId="74772B89">
      <w:pPr>
        <w:overflowPunct w:val="0"/>
        <w:topLinePunct/>
        <w:spacing w:line="560" w:lineRule="exact"/>
        <w:ind w:firstLine="643" w:firstLineChars="200"/>
        <w:rPr>
          <w:rFonts w:hint="eastAsia" w:ascii="仿宋_GB2312" w:hAnsi="仿宋_GB2312" w:eastAsia="仿宋_GB2312" w:cs="仿宋_GB2312"/>
          <w:kern w:val="21"/>
          <w:sz w:val="32"/>
          <w:szCs w:val="32"/>
        </w:rPr>
      </w:pPr>
      <w:bookmarkStart w:id="338" w:name="_Toc6241"/>
      <w:bookmarkStart w:id="339" w:name="_Toc786154190"/>
      <w:bookmarkStart w:id="340" w:name="_Toc1298078706"/>
      <w:bookmarkStart w:id="341" w:name="_Toc15535"/>
      <w:bookmarkStart w:id="342" w:name="_Toc28858"/>
      <w:r>
        <w:rPr>
          <w:rStyle w:val="46"/>
          <w:rFonts w:hint="eastAsia" w:ascii="仿宋_GB2312" w:hAnsi="仿宋_GB2312" w:eastAsia="仿宋_GB2312" w:cs="Times New Roman"/>
          <w:b/>
          <w:bCs/>
          <w:strike w:val="0"/>
          <w:kern w:val="21"/>
          <w:sz w:val="32"/>
          <w:szCs w:val="32"/>
          <w:lang w:eastAsia="zh-CN"/>
        </w:rPr>
        <w:t>放大民营经济能级</w:t>
      </w:r>
      <w:bookmarkEnd w:id="338"/>
      <w:bookmarkEnd w:id="339"/>
      <w:bookmarkEnd w:id="340"/>
      <w:bookmarkEnd w:id="341"/>
      <w:bookmarkEnd w:id="342"/>
      <w:r>
        <w:rPr>
          <w:rFonts w:hint="eastAsia" w:ascii="仿宋_GB2312" w:hAnsi="仿宋_GB2312" w:eastAsia="仿宋_GB2312" w:cs="仿宋_GB2312"/>
          <w:b/>
          <w:bCs/>
          <w:strike w:val="0"/>
          <w:kern w:val="21"/>
          <w:sz w:val="32"/>
          <w:szCs w:val="32"/>
        </w:rPr>
        <w:t>。</w:t>
      </w:r>
      <w:r>
        <w:rPr>
          <w:rFonts w:hint="eastAsia" w:ascii="仿宋_GB2312" w:hAnsi="仿宋_GB2312" w:eastAsia="仿宋_GB2312" w:cs="仿宋_GB2312"/>
          <w:kern w:val="21"/>
          <w:sz w:val="32"/>
          <w:szCs w:val="32"/>
        </w:rPr>
        <w:t>加大对民营经济发展支持力度，发挥改革试点集成带动效应，不断推动民营经济发展质量变革、效率变革、动力变革，推动龙头企业在500强榜单中扩容进位，示范引领全省民营经济高质量发展。深入实施“创二代薪火工程”提升行动，大力培育和弘扬企业家精神。健全企业服务体系，深入开展“吴优服务·心联万企”企业走访服务，发挥区镇两级企业服务中心作用，加强对专精特新、企业上市、技术创新、智改数转等方面的服务。</w:t>
      </w:r>
    </w:p>
    <w:p w14:paraId="10E69493">
      <w:pPr>
        <w:overflowPunct w:val="0"/>
        <w:topLinePunct/>
        <w:spacing w:line="560" w:lineRule="exact"/>
        <w:ind w:firstLine="643" w:firstLineChars="200"/>
        <w:rPr>
          <w:rFonts w:hint="default" w:ascii="仿宋_GB2312" w:hAnsi="仿宋_GB2312" w:eastAsia="仿宋_GB2312" w:cs="仿宋_GB2312"/>
          <w:kern w:val="21"/>
          <w:sz w:val="32"/>
          <w:szCs w:val="32"/>
          <w:highlight w:val="none"/>
          <w:lang w:val="en-US" w:eastAsia="zh-CN"/>
        </w:rPr>
      </w:pPr>
      <w:bookmarkStart w:id="343" w:name="_Toc1274"/>
      <w:bookmarkStart w:id="344" w:name="_Toc505192177"/>
      <w:bookmarkStart w:id="345" w:name="_Toc4822"/>
      <w:bookmarkStart w:id="346" w:name="_Toc1006195085"/>
      <w:bookmarkStart w:id="347" w:name="_Toc3231"/>
      <w:r>
        <w:rPr>
          <w:rStyle w:val="46"/>
          <w:rFonts w:hint="eastAsia" w:ascii="仿宋_GB2312" w:hAnsi="仿宋_GB2312" w:eastAsia="仿宋_GB2312" w:cs="Times New Roman"/>
          <w:b/>
          <w:bCs/>
          <w:color w:val="auto"/>
          <w:sz w:val="32"/>
          <w:szCs w:val="32"/>
          <w:highlight w:val="none"/>
          <w:lang w:eastAsia="zh-CN"/>
        </w:rPr>
        <w:t>完善</w:t>
      </w:r>
      <w:r>
        <w:rPr>
          <w:rStyle w:val="46"/>
          <w:rFonts w:hint="eastAsia" w:ascii="仿宋_GB2312" w:hAnsi="仿宋_GB2312" w:eastAsia="仿宋_GB2312" w:cs="Times New Roman"/>
          <w:color w:val="auto"/>
          <w:sz w:val="32"/>
          <w:szCs w:val="32"/>
          <w:highlight w:val="none"/>
          <w:lang w:eastAsia="zh-CN"/>
        </w:rPr>
        <w:t>金融服务</w:t>
      </w:r>
      <w:r>
        <w:rPr>
          <w:rStyle w:val="46"/>
          <w:rFonts w:hint="eastAsia" w:ascii="仿宋_GB2312" w:hAnsi="仿宋_GB2312" w:eastAsia="仿宋_GB2312" w:cs="Times New Roman"/>
          <w:b/>
          <w:bCs/>
          <w:color w:val="auto"/>
          <w:sz w:val="32"/>
          <w:szCs w:val="32"/>
          <w:highlight w:val="none"/>
          <w:lang w:eastAsia="zh-CN"/>
        </w:rPr>
        <w:t>体系</w:t>
      </w:r>
      <w:bookmarkEnd w:id="343"/>
      <w:bookmarkEnd w:id="344"/>
      <w:bookmarkEnd w:id="345"/>
      <w:bookmarkEnd w:id="346"/>
      <w:bookmarkEnd w:id="347"/>
      <w:r>
        <w:rPr>
          <w:rFonts w:hint="eastAsia" w:ascii="仿宋_GB2312" w:hAnsi="仿宋_GB2312" w:eastAsia="仿宋_GB2312" w:cs="仿宋_GB2312"/>
          <w:b/>
          <w:bCs/>
          <w:color w:val="auto"/>
          <w:sz w:val="32"/>
          <w:szCs w:val="32"/>
          <w:highlight w:val="none"/>
          <w:lang w:eastAsia="zh-CN"/>
        </w:rPr>
        <w:t>。</w:t>
      </w:r>
      <w:r>
        <w:rPr>
          <w:rFonts w:hint="eastAsia" w:ascii="仿宋_GB2312" w:hAnsi="仿宋_GB2312" w:eastAsia="仿宋_GB2312" w:cs="仿宋_GB2312"/>
          <w:kern w:val="21"/>
          <w:sz w:val="32"/>
          <w:szCs w:val="32"/>
          <w:highlight w:val="none"/>
        </w:rPr>
        <w:t>持续推进金融业转型和高质量发展，全力按照金融服务实体经济发展要求，推动金融资源投向科技创新、绿色发展、养老等领域，引导金融机构扩大普惠金融覆盖面，丰富基础金融产品供给。支持优质企业更好对接资本市场</w:t>
      </w:r>
      <w:r>
        <w:rPr>
          <w:rFonts w:hint="eastAsia" w:ascii="仿宋_GB2312" w:hAnsi="仿宋_GB2312" w:eastAsia="仿宋_GB2312" w:cs="仿宋_GB2312"/>
          <w:kern w:val="21"/>
          <w:sz w:val="32"/>
          <w:szCs w:val="32"/>
          <w:highlight w:val="none"/>
          <w:lang w:eastAsia="zh-CN"/>
        </w:rPr>
        <w:t>，</w:t>
      </w:r>
      <w:r>
        <w:rPr>
          <w:rFonts w:hint="eastAsia" w:ascii="仿宋_GB2312" w:hAnsi="仿宋_GB2312" w:eastAsia="仿宋_GB2312" w:cs="仿宋_GB2312"/>
          <w:kern w:val="21"/>
          <w:sz w:val="32"/>
          <w:szCs w:val="32"/>
          <w:highlight w:val="none"/>
        </w:rPr>
        <w:t>用好上市“双服务”机制，强化上市后备企业培育，优化上市服务保障，全力营造良好上市氛围，推动优质企业在境内外主要资本市场上市融资，鼓励区内企业通过并购重组、科技创新债券等方式拓宽融资渠道。支持中小企业和个体工商户发展，持续用好“四贷联动”机制，加大中小微企业融资协调保障力度。</w:t>
      </w:r>
    </w:p>
    <w:p w14:paraId="0AF9E618">
      <w:pPr>
        <w:pStyle w:val="3"/>
        <w:overflowPunct w:val="0"/>
        <w:topLinePunct/>
        <w:spacing w:before="156" w:after="156" w:line="560" w:lineRule="exact"/>
        <w:rPr>
          <w:rFonts w:hint="eastAsia" w:ascii="楷体_GB2312" w:hAnsi="楷体_GB2312" w:eastAsia="楷体_GB2312" w:cs="楷体_GB2312"/>
          <w:kern w:val="21"/>
          <w:lang w:eastAsia="zh-CN"/>
        </w:rPr>
      </w:pPr>
      <w:bookmarkStart w:id="348" w:name="_Toc28223"/>
      <w:bookmarkStart w:id="349" w:name="_Toc9920"/>
      <w:bookmarkStart w:id="350" w:name="_Toc11009"/>
      <w:bookmarkStart w:id="351" w:name="_Toc1606804292"/>
      <w:bookmarkStart w:id="352" w:name="_Toc143141397"/>
      <w:r>
        <w:rPr>
          <w:rFonts w:ascii="楷体_GB2312" w:hAnsi="楷体_GB2312" w:eastAsia="楷体_GB2312" w:cs="楷体_GB2312"/>
          <w:kern w:val="21"/>
        </w:rPr>
        <w:t>第</w:t>
      </w:r>
      <w:r>
        <w:rPr>
          <w:rFonts w:hint="eastAsia" w:ascii="楷体_GB2312" w:hAnsi="楷体_GB2312" w:eastAsia="楷体_GB2312" w:cs="楷体_GB2312"/>
          <w:kern w:val="21"/>
          <w:lang w:eastAsia="zh-CN"/>
        </w:rPr>
        <w:t>二</w:t>
      </w:r>
      <w:r>
        <w:rPr>
          <w:rFonts w:ascii="楷体_GB2312" w:hAnsi="楷体_GB2312" w:eastAsia="楷体_GB2312" w:cs="楷体_GB2312"/>
          <w:kern w:val="21"/>
        </w:rPr>
        <w:t>节</w:t>
      </w:r>
      <w:r>
        <w:rPr>
          <w:rFonts w:hint="eastAsia" w:ascii="楷体_GB2312" w:hAnsi="楷体_GB2312" w:eastAsia="楷体_GB2312" w:cs="楷体_GB2312"/>
          <w:kern w:val="21"/>
          <w:lang w:val="en-US" w:eastAsia="zh-CN"/>
        </w:rPr>
        <w:t xml:space="preserve"> </w:t>
      </w:r>
      <w:r>
        <w:rPr>
          <w:rFonts w:ascii="楷体_GB2312" w:hAnsi="楷体_GB2312" w:eastAsia="楷体_GB2312" w:cs="楷体_GB2312"/>
          <w:kern w:val="21"/>
        </w:rPr>
        <w:t xml:space="preserve"> </w:t>
      </w:r>
      <w:r>
        <w:rPr>
          <w:rFonts w:hint="eastAsia" w:ascii="楷体_GB2312" w:hAnsi="楷体_GB2312" w:eastAsia="楷体_GB2312" w:cs="楷体_GB2312"/>
          <w:kern w:val="21"/>
          <w:lang w:eastAsia="zh-CN"/>
        </w:rPr>
        <w:t>深化要素市场化配置改革</w:t>
      </w:r>
      <w:bookmarkEnd w:id="348"/>
      <w:bookmarkEnd w:id="349"/>
      <w:bookmarkEnd w:id="350"/>
      <w:bookmarkEnd w:id="351"/>
      <w:bookmarkEnd w:id="352"/>
    </w:p>
    <w:p w14:paraId="369BEAFF">
      <w:pPr>
        <w:overflowPunct w:val="0"/>
        <w:topLinePunct/>
        <w:spacing w:line="560" w:lineRule="exact"/>
        <w:ind w:firstLine="640" w:firstLineChars="200"/>
        <w:rPr>
          <w:rFonts w:hint="eastAsia" w:ascii="仿宋_GB2312" w:hAnsi="仿宋_GB2312" w:eastAsia="仿宋_GB2312" w:cs="仿宋_GB2312"/>
          <w:b w:val="0"/>
          <w:bCs w:val="0"/>
          <w:kern w:val="21"/>
          <w:sz w:val="32"/>
          <w:szCs w:val="32"/>
          <w:lang w:eastAsia="zh-CN"/>
        </w:rPr>
      </w:pPr>
      <w:r>
        <w:rPr>
          <w:rFonts w:hint="eastAsia" w:ascii="仿宋_GB2312" w:hAnsi="仿宋_GB2312" w:eastAsia="仿宋_GB2312" w:cs="仿宋_GB2312"/>
          <w:b w:val="0"/>
          <w:bCs w:val="0"/>
          <w:kern w:val="21"/>
          <w:sz w:val="32"/>
          <w:szCs w:val="32"/>
          <w:lang w:eastAsia="zh-CN"/>
        </w:rPr>
        <w:t>破除要素自由流动的体制机制障碍，全面优化营商环境，</w:t>
      </w:r>
      <w:r>
        <w:rPr>
          <w:rFonts w:hint="eastAsia" w:ascii="仿宋_GB2312" w:hAnsi="仿宋_GB2312" w:eastAsia="仿宋_GB2312" w:cs="仿宋_GB2312"/>
          <w:b w:val="0"/>
          <w:bCs w:val="0"/>
          <w:kern w:val="21"/>
          <w:sz w:val="32"/>
          <w:szCs w:val="32"/>
          <w:lang w:val="en-US" w:eastAsia="zh-CN"/>
        </w:rPr>
        <w:t>服务</w:t>
      </w:r>
      <w:r>
        <w:rPr>
          <w:rFonts w:hint="eastAsia" w:ascii="仿宋_GB2312" w:hAnsi="仿宋_GB2312" w:eastAsia="仿宋_GB2312" w:cs="仿宋_GB2312"/>
          <w:b w:val="0"/>
          <w:bCs w:val="0"/>
          <w:kern w:val="21"/>
          <w:sz w:val="32"/>
          <w:szCs w:val="32"/>
        </w:rPr>
        <w:t>构建统一开放、竞争有序、制度健全、机制灵活的高标准要素市场体系</w:t>
      </w:r>
      <w:r>
        <w:rPr>
          <w:rFonts w:hint="eastAsia" w:ascii="仿宋_GB2312" w:hAnsi="仿宋_GB2312" w:eastAsia="仿宋_GB2312" w:cs="仿宋_GB2312"/>
          <w:b w:val="0"/>
          <w:bCs w:val="0"/>
          <w:kern w:val="21"/>
          <w:sz w:val="32"/>
          <w:szCs w:val="32"/>
          <w:lang w:eastAsia="zh-CN"/>
        </w:rPr>
        <w:t>。</w:t>
      </w:r>
    </w:p>
    <w:p w14:paraId="5E0D148E">
      <w:pPr>
        <w:overflowPunct w:val="0"/>
        <w:topLinePunct/>
        <w:spacing w:line="560" w:lineRule="exact"/>
        <w:ind w:firstLine="643" w:firstLineChars="200"/>
        <w:rPr>
          <w:rFonts w:hint="eastAsia" w:ascii="仿宋_GB2312" w:hAnsi="仿宋_GB2312" w:eastAsia="仿宋_GB2312" w:cs="仿宋_GB2312"/>
          <w:kern w:val="21"/>
          <w:sz w:val="32"/>
          <w:szCs w:val="32"/>
        </w:rPr>
      </w:pPr>
      <w:bookmarkStart w:id="353" w:name="_Toc81"/>
      <w:bookmarkStart w:id="354" w:name="_Toc7191"/>
      <w:bookmarkStart w:id="355" w:name="_Toc1234111316"/>
      <w:bookmarkStart w:id="356" w:name="_Toc8826"/>
      <w:bookmarkStart w:id="357" w:name="_Toc329568968"/>
      <w:r>
        <w:rPr>
          <w:rStyle w:val="46"/>
          <w:rFonts w:hint="eastAsia" w:ascii="仿宋_GB2312" w:hAnsi="仿宋_GB2312" w:eastAsia="仿宋_GB2312" w:cs="Times New Roman"/>
          <w:b/>
          <w:bCs/>
          <w:kern w:val="21"/>
          <w:sz w:val="32"/>
          <w:szCs w:val="32"/>
        </w:rPr>
        <w:t>推进要素市场化配置改革</w:t>
      </w:r>
      <w:bookmarkEnd w:id="353"/>
      <w:bookmarkEnd w:id="354"/>
      <w:bookmarkEnd w:id="355"/>
      <w:bookmarkEnd w:id="356"/>
      <w:bookmarkEnd w:id="357"/>
      <w:r>
        <w:rPr>
          <w:rFonts w:hint="eastAsia" w:ascii="仿宋_GB2312" w:hAnsi="仿宋_GB2312" w:eastAsia="仿宋_GB2312" w:cs="仿宋_GB2312"/>
          <w:b/>
          <w:bCs/>
          <w:kern w:val="21"/>
          <w:sz w:val="32"/>
          <w:szCs w:val="32"/>
        </w:rPr>
        <w:t>。</w:t>
      </w:r>
      <w:r>
        <w:rPr>
          <w:rFonts w:hint="eastAsia" w:ascii="仿宋_GB2312" w:hAnsi="仿宋_GB2312" w:eastAsia="仿宋_GB2312" w:cs="仿宋_GB2312"/>
          <w:kern w:val="21"/>
          <w:sz w:val="32"/>
          <w:szCs w:val="32"/>
        </w:rPr>
        <w:t>以</w:t>
      </w:r>
      <w:r>
        <w:rPr>
          <w:rFonts w:hint="eastAsia" w:ascii="仿宋_GB2312" w:hAnsi="仿宋_GB2312" w:eastAsia="仿宋_GB2312" w:cs="仿宋_GB2312"/>
          <w:kern w:val="21"/>
          <w:sz w:val="32"/>
          <w:szCs w:val="32"/>
          <w:lang w:val="en-US" w:eastAsia="zh-CN"/>
        </w:rPr>
        <w:t>苏州纳入</w:t>
      </w:r>
      <w:r>
        <w:rPr>
          <w:rFonts w:hint="eastAsia" w:ascii="仿宋_GB2312" w:hAnsi="仿宋_GB2312" w:eastAsia="仿宋_GB2312" w:cs="仿宋_GB2312"/>
          <w:kern w:val="21"/>
          <w:sz w:val="32"/>
          <w:szCs w:val="32"/>
        </w:rPr>
        <w:t>苏南重点城市要素市场化配置综合改革试点为契机，深入推进技术、土地、人力资源、数据、金融、资源环境等关键领域要素市场化配置改革，实现要素配置效率与全要素生产率显著提升。健全产业用地市场供应体系，依法稳妥推进工商业用地使用权续期工作。</w:t>
      </w:r>
      <w:r>
        <w:rPr>
          <w:rFonts w:hint="eastAsia" w:ascii="仿宋_GB2312" w:hAnsi="仿宋_GB2312" w:eastAsia="仿宋_GB2312" w:cs="仿宋_GB2312"/>
          <w:kern w:val="21"/>
          <w:sz w:val="32"/>
          <w:szCs w:val="32"/>
          <w:lang w:val="en-US" w:eastAsia="zh-CN"/>
        </w:rPr>
        <w:t>鼓励存量建筑活化利用。</w:t>
      </w:r>
      <w:r>
        <w:rPr>
          <w:rFonts w:hint="eastAsia" w:ascii="仿宋_GB2312" w:hAnsi="仿宋_GB2312" w:eastAsia="仿宋_GB2312" w:cs="仿宋_GB2312"/>
          <w:kern w:val="21"/>
          <w:sz w:val="32"/>
          <w:szCs w:val="32"/>
        </w:rPr>
        <w:t>探索数据、算力、空域、环境要素等新型要素资源的配置和保障，探索行业标准，拓展应用场景，促进低空经济、数据产业、人工智能等新领域新业态发展。</w:t>
      </w:r>
    </w:p>
    <w:p w14:paraId="286DB2B4">
      <w:pPr>
        <w:overflowPunct w:val="0"/>
        <w:topLinePunct/>
        <w:spacing w:line="560" w:lineRule="exact"/>
        <w:ind w:firstLine="643" w:firstLineChars="200"/>
        <w:rPr>
          <w:rFonts w:hint="eastAsia" w:ascii="仿宋_GB2312" w:hAnsi="仿宋_GB2312" w:eastAsia="仿宋_GB2312" w:cs="仿宋_GB2312"/>
          <w:color w:val="auto"/>
          <w:sz w:val="32"/>
          <w:szCs w:val="32"/>
          <w:lang w:val="en-US" w:eastAsia="zh-CN"/>
        </w:rPr>
      </w:pPr>
      <w:bookmarkStart w:id="358" w:name="_Toc700894784"/>
      <w:bookmarkStart w:id="359" w:name="_Toc652"/>
      <w:bookmarkStart w:id="360" w:name="_Toc1382754783"/>
      <w:bookmarkStart w:id="361" w:name="_Toc1257"/>
      <w:bookmarkStart w:id="362" w:name="_Toc7645"/>
      <w:r>
        <w:rPr>
          <w:rStyle w:val="46"/>
          <w:rFonts w:hint="eastAsia" w:ascii="仿宋_GB2312" w:hAnsi="仿宋_GB2312" w:eastAsia="仿宋_GB2312" w:cs="Times New Roman"/>
          <w:b/>
          <w:bCs/>
          <w:kern w:val="21"/>
          <w:sz w:val="32"/>
          <w:szCs w:val="32"/>
        </w:rPr>
        <w:t>全面深化营商环境改革</w:t>
      </w:r>
      <w:bookmarkEnd w:id="358"/>
      <w:bookmarkEnd w:id="359"/>
      <w:bookmarkEnd w:id="360"/>
      <w:bookmarkEnd w:id="361"/>
      <w:bookmarkEnd w:id="362"/>
      <w:r>
        <w:rPr>
          <w:rFonts w:hint="eastAsia" w:ascii="仿宋_GB2312" w:hAnsi="仿宋_GB2312" w:eastAsia="仿宋_GB2312" w:cs="仿宋_GB2312"/>
          <w:b/>
          <w:bCs/>
          <w:kern w:val="21"/>
          <w:sz w:val="32"/>
          <w:szCs w:val="32"/>
        </w:rPr>
        <w:t>。</w:t>
      </w:r>
      <w:r>
        <w:rPr>
          <w:rFonts w:hint="eastAsia" w:ascii="仿宋_GB2312" w:hAnsi="仿宋_GB2312" w:eastAsia="仿宋_GB2312" w:cs="仿宋_GB2312"/>
          <w:kern w:val="21"/>
          <w:sz w:val="32"/>
          <w:szCs w:val="32"/>
          <w:lang w:bidi="ar"/>
        </w:rPr>
        <w:t>对标国内外先进城市，对照世界银行评价体系标准，</w:t>
      </w:r>
      <w:r>
        <w:rPr>
          <w:rFonts w:hint="eastAsia" w:ascii="仿宋_GB2312" w:hAnsi="仿宋_GB2312" w:eastAsia="仿宋_GB2312" w:cs="仿宋_GB2312"/>
          <w:color w:val="auto"/>
          <w:sz w:val="32"/>
          <w:szCs w:val="32"/>
          <w:lang w:val="en-US" w:eastAsia="zh-CN"/>
        </w:rPr>
        <w:t>开展服务企业、服务项目、服务园区和基层“三服务”专项行动，</w:t>
      </w:r>
      <w:r>
        <w:rPr>
          <w:rFonts w:hint="eastAsia" w:ascii="仿宋_GB2312" w:hAnsi="仿宋_GB2312" w:eastAsia="仿宋_GB2312" w:cs="仿宋_GB2312"/>
          <w:kern w:val="21"/>
          <w:sz w:val="32"/>
          <w:szCs w:val="32"/>
          <w:lang w:bidi="ar"/>
        </w:rPr>
        <w:t>努力打造市场化、法治化、国际化营商环境，全面构建亲清政商关系，全力打造企业投资兴业的“青睐之地”。不断升级优化营商环境政策体系，加快关键环节和重点领域改革步伐，构建政策赋能、政企协同、智慧政务、降本减负的服务体系，打造事前加强指引、事中审慎监管、事后权益维护的法治保障模式</w:t>
      </w:r>
      <w:r>
        <w:rPr>
          <w:rFonts w:hint="eastAsia" w:ascii="仿宋_GB2312" w:hAnsi="仿宋_GB2312" w:eastAsia="仿宋_GB2312" w:cs="仿宋_GB2312"/>
          <w:kern w:val="21"/>
          <w:sz w:val="32"/>
          <w:szCs w:val="32"/>
          <w:lang w:eastAsia="zh-CN" w:bidi="ar"/>
        </w:rPr>
        <w:t>。深入推行“综合查一次”改革，全流程规范涉企执法。</w:t>
      </w:r>
      <w:r>
        <w:rPr>
          <w:rFonts w:hint="eastAsia" w:ascii="仿宋_GB2312" w:hAnsi="仿宋_GB2312" w:eastAsia="仿宋_GB2312" w:cs="仿宋_GB2312"/>
          <w:kern w:val="21"/>
          <w:sz w:val="32"/>
          <w:szCs w:val="32"/>
          <w:lang w:bidi="ar"/>
        </w:rPr>
        <w:t>实施一体化营商环境行动，建立跨区域、跨部门的公平竞争审查工作机制</w:t>
      </w:r>
      <w:r>
        <w:rPr>
          <w:rFonts w:hint="eastAsia" w:ascii="仿宋_GB2312" w:hAnsi="仿宋_GB2312" w:eastAsia="仿宋_GB2312" w:cs="仿宋_GB2312"/>
          <w:kern w:val="21"/>
          <w:sz w:val="32"/>
          <w:szCs w:val="32"/>
          <w:lang w:eastAsia="zh-CN" w:bidi="ar"/>
        </w:rPr>
        <w:t>。</w:t>
      </w:r>
      <w:r>
        <w:rPr>
          <w:rFonts w:hint="eastAsia" w:ascii="仿宋_GB2312" w:hAnsi="仿宋_GB2312" w:eastAsia="仿宋_GB2312" w:cs="仿宋_GB2312"/>
          <w:color w:val="auto"/>
          <w:sz w:val="32"/>
          <w:szCs w:val="32"/>
          <w:lang w:val="en-US" w:eastAsia="zh-CN"/>
        </w:rPr>
        <w:t>健全企业家参与涉企政策制定机制，推动人工智能支持政策智能化匹配，扩大“免申即享”“直达快享”覆盖面。</w:t>
      </w:r>
    </w:p>
    <w:p w14:paraId="72505DF7">
      <w:pPr>
        <w:overflowPunct w:val="0"/>
        <w:topLinePunct/>
        <w:spacing w:line="560" w:lineRule="exact"/>
        <w:ind w:firstLine="640" w:firstLineChars="200"/>
        <w:rPr>
          <w:rFonts w:hint="eastAsia" w:ascii="仿宋_GB2312" w:hAnsi="仿宋_GB2312" w:eastAsia="仿宋_GB2312" w:cs="仿宋_GB2312"/>
          <w:kern w:val="21"/>
          <w:sz w:val="32"/>
          <w:szCs w:val="32"/>
          <w:lang w:bidi="ar"/>
        </w:rPr>
      </w:pPr>
    </w:p>
    <w:p w14:paraId="44624507">
      <w:pPr>
        <w:pStyle w:val="2"/>
        <w:keepNext w:val="0"/>
        <w:keepLines w:val="0"/>
        <w:pageBreakBefore w:val="0"/>
        <w:kinsoku/>
        <w:wordWrap/>
        <w:overflowPunct w:val="0"/>
        <w:topLinePunct/>
        <w:autoSpaceDE/>
        <w:autoSpaceDN/>
        <w:bidi w:val="0"/>
        <w:adjustRightInd/>
        <w:spacing w:line="560" w:lineRule="exact"/>
        <w:ind w:firstLine="640" w:firstLineChars="200"/>
        <w:textAlignment w:val="auto"/>
        <w:rPr>
          <w:rFonts w:hint="eastAsia"/>
          <w:spacing w:val="0"/>
          <w:kern w:val="21"/>
        </w:rPr>
        <w:sectPr>
          <w:pgSz w:w="11906" w:h="16838"/>
          <w:pgMar w:top="1928" w:right="1531" w:bottom="1701" w:left="1531" w:header="0" w:footer="992" w:gutter="0"/>
          <w:pgNumType w:fmt="decimal"/>
          <w:cols w:space="0" w:num="1"/>
          <w:rtlGutter w:val="0"/>
          <w:docGrid w:type="lines" w:linePitch="312" w:charSpace="0"/>
        </w:sectPr>
      </w:pPr>
      <w:bookmarkStart w:id="363" w:name="_Toc18417"/>
      <w:bookmarkStart w:id="364" w:name="_Toc104798431"/>
      <w:bookmarkStart w:id="365" w:name="_Toc1800476586"/>
      <w:bookmarkStart w:id="366" w:name="_Toc24638"/>
      <w:bookmarkStart w:id="367" w:name="_Toc14439"/>
      <w:bookmarkStart w:id="368" w:name="_Toc248"/>
      <w:bookmarkStart w:id="369" w:name="_Toc32274"/>
    </w:p>
    <w:p w14:paraId="1019F98C">
      <w:pPr>
        <w:pStyle w:val="2"/>
        <w:keepNext w:val="0"/>
        <w:keepLines w:val="0"/>
        <w:pageBreakBefore w:val="0"/>
        <w:kinsoku/>
        <w:wordWrap/>
        <w:overflowPunct w:val="0"/>
        <w:topLinePunct/>
        <w:autoSpaceDE/>
        <w:autoSpaceDN/>
        <w:bidi w:val="0"/>
        <w:adjustRightInd/>
        <w:spacing w:line="560" w:lineRule="exact"/>
        <w:jc w:val="center"/>
        <w:textAlignment w:val="auto"/>
        <w:rPr>
          <w:spacing w:val="0"/>
          <w:kern w:val="21"/>
        </w:rPr>
      </w:pPr>
      <w:r>
        <w:rPr>
          <w:rFonts w:hint="eastAsia"/>
          <w:spacing w:val="0"/>
          <w:kern w:val="21"/>
        </w:rPr>
        <w:t>第</w:t>
      </w:r>
      <w:r>
        <w:rPr>
          <w:rFonts w:hint="eastAsia"/>
          <w:spacing w:val="0"/>
          <w:kern w:val="21"/>
          <w:lang w:eastAsia="zh-CN"/>
        </w:rPr>
        <w:t>八</w:t>
      </w:r>
      <w:r>
        <w:rPr>
          <w:rFonts w:hint="eastAsia"/>
          <w:spacing w:val="0"/>
          <w:kern w:val="21"/>
        </w:rPr>
        <w:t>章  推进高水平对外开放</w:t>
      </w:r>
      <w:bookmarkEnd w:id="363"/>
      <w:bookmarkEnd w:id="364"/>
      <w:bookmarkEnd w:id="365"/>
      <w:bookmarkEnd w:id="366"/>
      <w:bookmarkStart w:id="370" w:name="_Toc28291"/>
      <w:bookmarkStart w:id="371" w:name="_Toc28666"/>
      <w:bookmarkStart w:id="372" w:name="_Toc2105534495"/>
      <w:bookmarkStart w:id="373" w:name="_Toc637324184"/>
      <w:r>
        <w:rPr>
          <w:rFonts w:hint="eastAsia"/>
          <w:spacing w:val="0"/>
          <w:kern w:val="21"/>
          <w:lang w:eastAsia="zh-CN"/>
        </w:rPr>
        <w:t>，</w:t>
      </w:r>
      <w:r>
        <w:rPr>
          <w:rFonts w:hint="eastAsia"/>
          <w:spacing w:val="0"/>
          <w:kern w:val="21"/>
        </w:rPr>
        <w:t>塑造开放型经济新优势</w:t>
      </w:r>
      <w:bookmarkEnd w:id="367"/>
      <w:bookmarkEnd w:id="368"/>
      <w:bookmarkEnd w:id="370"/>
      <w:bookmarkEnd w:id="371"/>
      <w:bookmarkEnd w:id="372"/>
      <w:bookmarkEnd w:id="373"/>
    </w:p>
    <w:p w14:paraId="0949CE7F">
      <w:pPr>
        <w:keepNext w:val="0"/>
        <w:keepLines w:val="0"/>
        <w:pageBreakBefore w:val="0"/>
        <w:kinsoku/>
        <w:wordWrap/>
        <w:overflowPunct w:val="0"/>
        <w:topLinePunct/>
        <w:autoSpaceDE/>
        <w:autoSpaceDN/>
        <w:bidi w:val="0"/>
        <w:adjustRightInd/>
        <w:spacing w:line="560" w:lineRule="exact"/>
        <w:ind w:firstLine="640" w:firstLineChars="200"/>
        <w:textAlignment w:val="auto"/>
        <w:rPr>
          <w:rFonts w:hint="eastAsia" w:ascii="仿宋_GB2312" w:hAnsi="仿宋_GB2312" w:eastAsia="仿宋_GB2312" w:cs="仿宋_GB2312"/>
          <w:spacing w:val="0"/>
          <w:kern w:val="21"/>
          <w:sz w:val="32"/>
          <w:szCs w:val="32"/>
        </w:rPr>
      </w:pPr>
    </w:p>
    <w:p w14:paraId="18C10609">
      <w:pPr>
        <w:keepNext w:val="0"/>
        <w:keepLines w:val="0"/>
        <w:pageBreakBefore w:val="0"/>
        <w:kinsoku/>
        <w:wordWrap/>
        <w:overflowPunct w:val="0"/>
        <w:topLinePunct/>
        <w:autoSpaceDE/>
        <w:autoSpaceDN/>
        <w:bidi w:val="0"/>
        <w:adjustRightInd/>
        <w:spacing w:line="560" w:lineRule="exact"/>
        <w:ind w:firstLine="640" w:firstLineChars="200"/>
        <w:textAlignment w:val="auto"/>
        <w:rPr>
          <w:rFonts w:hint="eastAsia" w:ascii="仿宋_GB2312" w:hAnsi="仿宋_GB2312" w:eastAsia="仿宋_GB2312" w:cs="仿宋_GB2312"/>
          <w:spacing w:val="0"/>
          <w:kern w:val="21"/>
          <w:sz w:val="32"/>
          <w:szCs w:val="32"/>
        </w:rPr>
      </w:pPr>
      <w:r>
        <w:rPr>
          <w:rFonts w:hint="eastAsia" w:ascii="仿宋_GB2312" w:hAnsi="仿宋_GB2312" w:eastAsia="仿宋_GB2312" w:cs="仿宋_GB2312"/>
          <w:spacing w:val="0"/>
          <w:kern w:val="21"/>
          <w:sz w:val="32"/>
          <w:szCs w:val="32"/>
        </w:rPr>
        <w:t>坚持以开放促改革促发展，</w:t>
      </w:r>
      <w:r>
        <w:rPr>
          <w:rFonts w:hint="eastAsia" w:ascii="仿宋_GB2312" w:hAnsi="仿宋_GB2312" w:eastAsia="仿宋_GB2312" w:cs="仿宋_GB2312"/>
          <w:color w:val="auto"/>
          <w:sz w:val="32"/>
          <w:szCs w:val="32"/>
          <w:lang w:val="en-US" w:eastAsia="zh-CN"/>
        </w:rPr>
        <w:t>落实苏州高水平开放赋能工程，</w:t>
      </w:r>
      <w:r>
        <w:rPr>
          <w:rFonts w:hint="eastAsia" w:ascii="仿宋_GB2312" w:hAnsi="仿宋_GB2312" w:eastAsia="仿宋_GB2312" w:cs="仿宋_GB2312"/>
          <w:spacing w:val="0"/>
          <w:kern w:val="21"/>
          <w:sz w:val="32"/>
          <w:szCs w:val="32"/>
        </w:rPr>
        <w:t>深度融入共建“一带一路”，更大力度吸引和利用外资，拓展国际合作空间，增强对全球要素资源的吸引力、集聚力、配置力，开创合作共赢新局面。</w:t>
      </w:r>
    </w:p>
    <w:bookmarkEnd w:id="369"/>
    <w:p w14:paraId="025AF4C9">
      <w:pPr>
        <w:pStyle w:val="3"/>
        <w:keepNext w:val="0"/>
        <w:keepLines w:val="0"/>
        <w:pageBreakBefore w:val="0"/>
        <w:kinsoku/>
        <w:wordWrap/>
        <w:overflowPunct w:val="0"/>
        <w:topLinePunct/>
        <w:autoSpaceDE/>
        <w:autoSpaceDN/>
        <w:bidi w:val="0"/>
        <w:adjustRightInd/>
        <w:spacing w:before="156" w:after="156" w:line="560" w:lineRule="exact"/>
        <w:textAlignment w:val="auto"/>
        <w:rPr>
          <w:rFonts w:ascii="楷体_GB2312" w:hAnsi="楷体_GB2312" w:eastAsia="楷体_GB2312" w:cs="楷体_GB2312"/>
          <w:spacing w:val="0"/>
          <w:kern w:val="21"/>
        </w:rPr>
      </w:pPr>
      <w:bookmarkStart w:id="374" w:name="_Toc2030458208"/>
      <w:bookmarkStart w:id="375" w:name="_Toc742063886"/>
      <w:bookmarkStart w:id="376" w:name="_Toc28565"/>
      <w:bookmarkStart w:id="377" w:name="_Toc14783"/>
      <w:bookmarkStart w:id="378" w:name="_Toc10842"/>
      <w:bookmarkStart w:id="379" w:name="_Toc30241"/>
      <w:r>
        <w:rPr>
          <w:rFonts w:ascii="楷体_GB2312" w:hAnsi="楷体_GB2312" w:eastAsia="楷体_GB2312" w:cs="楷体_GB2312"/>
          <w:spacing w:val="0"/>
          <w:kern w:val="21"/>
        </w:rPr>
        <w:t xml:space="preserve">第一节 </w:t>
      </w:r>
      <w:r>
        <w:rPr>
          <w:rFonts w:hint="eastAsia" w:ascii="楷体_GB2312" w:hAnsi="楷体_GB2312" w:eastAsia="楷体_GB2312" w:cs="楷体_GB2312"/>
          <w:spacing w:val="0"/>
          <w:kern w:val="21"/>
          <w:lang w:val="en-US" w:eastAsia="zh-CN"/>
        </w:rPr>
        <w:t xml:space="preserve"> </w:t>
      </w:r>
      <w:r>
        <w:rPr>
          <w:rFonts w:ascii="楷体_GB2312" w:hAnsi="楷体_GB2312" w:eastAsia="楷体_GB2312" w:cs="楷体_GB2312"/>
          <w:spacing w:val="0"/>
          <w:kern w:val="21"/>
        </w:rPr>
        <w:t>稳步</w:t>
      </w:r>
      <w:r>
        <w:rPr>
          <w:rFonts w:hint="eastAsia" w:ascii="楷体_GB2312" w:hAnsi="楷体_GB2312" w:cs="楷体_GB2312"/>
          <w:spacing w:val="0"/>
          <w:kern w:val="21"/>
          <w:lang w:val="en-US" w:eastAsia="zh-CN"/>
        </w:rPr>
        <w:t>扩大</w:t>
      </w:r>
      <w:r>
        <w:rPr>
          <w:rFonts w:ascii="楷体_GB2312" w:hAnsi="楷体_GB2312" w:eastAsia="楷体_GB2312" w:cs="楷体_GB2312"/>
          <w:spacing w:val="0"/>
          <w:kern w:val="21"/>
        </w:rPr>
        <w:t>制度型开放</w:t>
      </w:r>
      <w:bookmarkEnd w:id="374"/>
      <w:bookmarkEnd w:id="375"/>
      <w:bookmarkEnd w:id="376"/>
      <w:bookmarkEnd w:id="377"/>
      <w:bookmarkEnd w:id="378"/>
      <w:bookmarkEnd w:id="379"/>
    </w:p>
    <w:p w14:paraId="5E91FF9C">
      <w:pPr>
        <w:keepNext w:val="0"/>
        <w:keepLines w:val="0"/>
        <w:pageBreakBefore w:val="0"/>
        <w:widowControl w:val="0"/>
        <w:numPr>
          <w:ilvl w:val="0"/>
          <w:numId w:val="0"/>
        </w:numPr>
        <w:kinsoku/>
        <w:wordWrap/>
        <w:overflowPunct w:val="0"/>
        <w:topLinePunct/>
        <w:autoSpaceDE/>
        <w:autoSpaceDN/>
        <w:bidi w:val="0"/>
        <w:adjustRightInd/>
        <w:snapToGrid/>
        <w:spacing w:line="560" w:lineRule="exact"/>
        <w:ind w:firstLine="640" w:firstLineChars="200"/>
        <w:jc w:val="both"/>
        <w:textAlignment w:val="auto"/>
        <w:rPr>
          <w:rStyle w:val="46"/>
          <w:rFonts w:hint="eastAsia" w:ascii="仿宋_GB2312" w:hAnsi="仿宋_GB2312" w:eastAsia="仿宋_GB2312" w:cs="仿宋_GB2312"/>
          <w:spacing w:val="0"/>
          <w:kern w:val="21"/>
          <w:sz w:val="32"/>
          <w:szCs w:val="32"/>
          <w:highlight w:val="yellow"/>
        </w:rPr>
      </w:pPr>
      <w:bookmarkStart w:id="380" w:name="_Toc17015"/>
      <w:r>
        <w:rPr>
          <w:rFonts w:hint="eastAsia" w:ascii="仿宋_GB2312" w:hAnsi="仿宋_GB2312" w:eastAsia="仿宋_GB2312" w:cs="仿宋_GB2312"/>
          <w:color w:val="auto"/>
          <w:spacing w:val="0"/>
          <w:kern w:val="2"/>
          <w:sz w:val="32"/>
          <w:szCs w:val="32"/>
          <w:highlight w:val="none"/>
          <w:lang w:eastAsia="zh-CN"/>
        </w:rPr>
        <w:t>坚持开放合作、互利共赢，</w:t>
      </w:r>
      <w:r>
        <w:rPr>
          <w:rFonts w:hint="eastAsia" w:ascii="仿宋_GB2312" w:hAnsi="仿宋_GB2312" w:eastAsia="仿宋_GB2312" w:cs="仿宋_GB2312"/>
          <w:color w:val="auto"/>
          <w:spacing w:val="0"/>
          <w:kern w:val="2"/>
          <w:sz w:val="32"/>
          <w:szCs w:val="32"/>
          <w:highlight w:val="none"/>
          <w:lang w:val="en-US" w:eastAsia="zh-CN"/>
        </w:rPr>
        <w:t>用好制度创新成果，强化平台载体建设，</w:t>
      </w:r>
      <w:r>
        <w:rPr>
          <w:rFonts w:hint="eastAsia" w:ascii="仿宋_GB2312" w:hAnsi="仿宋_GB2312" w:eastAsia="仿宋_GB2312" w:cs="仿宋_GB2312"/>
          <w:color w:val="auto"/>
          <w:spacing w:val="0"/>
          <w:kern w:val="2"/>
          <w:sz w:val="32"/>
          <w:szCs w:val="32"/>
          <w:highlight w:val="none"/>
        </w:rPr>
        <w:t>筑牢高水平对外开放坚实根基。</w:t>
      </w:r>
    </w:p>
    <w:bookmarkEnd w:id="380"/>
    <w:p w14:paraId="666AED60">
      <w:pPr>
        <w:keepNext w:val="0"/>
        <w:keepLines w:val="0"/>
        <w:pageBreakBefore w:val="0"/>
        <w:widowControl w:val="0"/>
        <w:numPr>
          <w:ilvl w:val="0"/>
          <w:numId w:val="0"/>
        </w:numPr>
        <w:kinsoku/>
        <w:wordWrap/>
        <w:overflowPunct w:val="0"/>
        <w:topLinePunct/>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color w:val="auto"/>
          <w:spacing w:val="0"/>
          <w:sz w:val="32"/>
          <w:szCs w:val="32"/>
          <w:highlight w:val="none"/>
          <w:lang w:val="en-US" w:eastAsia="zh-CN"/>
        </w:rPr>
      </w:pPr>
      <w:bookmarkStart w:id="381" w:name="_Toc8279"/>
      <w:r>
        <w:rPr>
          <w:rStyle w:val="46"/>
          <w:rFonts w:hint="eastAsia" w:ascii="仿宋_GB2312" w:hAnsi="仿宋_GB2312" w:eastAsia="仿宋_GB2312" w:cs="Times New Roman"/>
          <w:b/>
          <w:bCs/>
          <w:spacing w:val="0"/>
          <w:kern w:val="21"/>
          <w:sz w:val="32"/>
          <w:szCs w:val="32"/>
          <w:highlight w:val="none"/>
          <w:lang w:eastAsia="zh-CN"/>
        </w:rPr>
        <w:t>提升对外开放能级</w:t>
      </w:r>
      <w:bookmarkEnd w:id="381"/>
      <w:r>
        <w:rPr>
          <w:rFonts w:hint="eastAsia" w:ascii="仿宋_GB2312" w:hAnsi="仿宋_GB2312" w:eastAsia="仿宋_GB2312" w:cs="仿宋_GB2312"/>
          <w:b/>
          <w:bCs/>
          <w:spacing w:val="0"/>
          <w:kern w:val="21"/>
          <w:sz w:val="32"/>
          <w:szCs w:val="32"/>
          <w:lang w:eastAsia="zh-CN"/>
        </w:rPr>
        <w:t>。</w:t>
      </w:r>
      <w:r>
        <w:rPr>
          <w:rFonts w:hint="eastAsia" w:ascii="仿宋_GB2312" w:hAnsi="仿宋_GB2312" w:eastAsia="仿宋_GB2312" w:cs="仿宋_GB2312"/>
          <w:spacing w:val="0"/>
          <w:kern w:val="21"/>
          <w:sz w:val="32"/>
          <w:szCs w:val="32"/>
        </w:rPr>
        <w:t>坚持实施更大范围、更宽领域、更深层次</w:t>
      </w:r>
      <w:r>
        <w:rPr>
          <w:rFonts w:hint="eastAsia" w:ascii="仿宋_GB2312" w:hAnsi="仿宋_GB2312" w:eastAsia="仿宋_GB2312" w:cs="仿宋_GB2312"/>
          <w:spacing w:val="0"/>
          <w:kern w:val="21"/>
          <w:sz w:val="32"/>
          <w:szCs w:val="32"/>
          <w:highlight w:val="none"/>
        </w:rPr>
        <w:t>对外开放，塑造国际合作和竞争新优势。</w:t>
      </w:r>
      <w:r>
        <w:rPr>
          <w:rFonts w:hint="eastAsia" w:ascii="仿宋_GB2312" w:hAnsi="仿宋_GB2312" w:eastAsia="仿宋_GB2312" w:cs="仿宋_GB2312"/>
          <w:color w:val="auto"/>
          <w:spacing w:val="0"/>
          <w:sz w:val="32"/>
          <w:szCs w:val="32"/>
          <w:highlight w:val="none"/>
          <w:lang w:eastAsia="zh-CN"/>
        </w:rPr>
        <w:t>主动对接</w:t>
      </w:r>
      <w:r>
        <w:rPr>
          <w:rFonts w:hint="eastAsia" w:ascii="仿宋_GB2312" w:hAnsi="仿宋_GB2312" w:eastAsia="仿宋_GB2312" w:cs="仿宋_GB2312"/>
          <w:spacing w:val="0"/>
          <w:kern w:val="21"/>
          <w:sz w:val="32"/>
          <w:szCs w:val="32"/>
          <w:highlight w:val="none"/>
        </w:rPr>
        <w:t>CPTPP</w:t>
      </w:r>
      <w:r>
        <w:rPr>
          <w:rFonts w:hint="eastAsia" w:ascii="仿宋_GB2312" w:hAnsi="仿宋_GB2312" w:eastAsia="仿宋_GB2312" w:cs="仿宋_GB2312"/>
          <w:color w:val="auto"/>
          <w:spacing w:val="0"/>
          <w:sz w:val="32"/>
          <w:szCs w:val="32"/>
          <w:highlight w:val="none"/>
          <w:lang w:eastAsia="zh-CN"/>
        </w:rPr>
        <w:t>国际高标准经贸规则</w:t>
      </w:r>
      <w:r>
        <w:rPr>
          <w:rFonts w:hint="eastAsia" w:ascii="仿宋_GB2312" w:hAnsi="仿宋_GB2312" w:eastAsia="仿宋_GB2312" w:cs="仿宋_GB2312"/>
          <w:color w:val="auto"/>
          <w:spacing w:val="0"/>
          <w:sz w:val="32"/>
          <w:szCs w:val="32"/>
          <w:highlight w:val="none"/>
          <w:lang w:val="en-US" w:eastAsia="zh-CN"/>
        </w:rPr>
        <w:t>和国内先进地区</w:t>
      </w:r>
      <w:r>
        <w:rPr>
          <w:rFonts w:hint="eastAsia" w:ascii="仿宋_GB2312" w:hAnsi="仿宋_GB2312" w:eastAsia="仿宋_GB2312" w:cs="仿宋_GB2312"/>
          <w:color w:val="auto"/>
          <w:spacing w:val="0"/>
          <w:sz w:val="32"/>
          <w:szCs w:val="32"/>
          <w:highlight w:val="none"/>
          <w:lang w:eastAsia="zh-CN"/>
        </w:rPr>
        <w:t>，</w:t>
      </w:r>
      <w:r>
        <w:rPr>
          <w:rFonts w:hint="eastAsia" w:ascii="仿宋_GB2312" w:hAnsi="仿宋_GB2312" w:eastAsia="仿宋_GB2312" w:cs="仿宋_GB2312"/>
          <w:color w:val="auto"/>
          <w:spacing w:val="0"/>
          <w:sz w:val="32"/>
          <w:szCs w:val="32"/>
          <w:highlight w:val="none"/>
          <w:lang w:val="en-US" w:eastAsia="zh-CN"/>
        </w:rPr>
        <w:t>聚焦投资、贸易、金融、创新等对外交流合作领域深化探索，提升人员往来等便利化水平。</w:t>
      </w:r>
      <w:r>
        <w:rPr>
          <w:rFonts w:hint="eastAsia" w:ascii="仿宋_GB2312" w:hAnsi="仿宋_GB2312" w:eastAsia="仿宋_GB2312" w:cs="仿宋_GB2312"/>
          <w:spacing w:val="0"/>
          <w:kern w:val="21"/>
          <w:sz w:val="32"/>
          <w:szCs w:val="32"/>
          <w:highlight w:val="none"/>
        </w:rPr>
        <w:t>推进首创性改革和引领性开放，打造高水平对外开放窗口。</w:t>
      </w:r>
      <w:r>
        <w:rPr>
          <w:rFonts w:hint="eastAsia" w:ascii="仿宋_GB2312" w:hAnsi="仿宋_GB2312" w:eastAsia="仿宋_GB2312" w:cs="仿宋_GB2312"/>
          <w:color w:val="auto"/>
          <w:spacing w:val="0"/>
          <w:sz w:val="32"/>
          <w:szCs w:val="32"/>
          <w:highlight w:val="none"/>
          <w:lang w:val="en-US" w:eastAsia="zh-CN"/>
        </w:rPr>
        <w:t>深化友城交流与务实合作。</w:t>
      </w:r>
      <w:r>
        <w:rPr>
          <w:rFonts w:hint="eastAsia" w:ascii="仿宋_GB2312" w:hAnsi="仿宋_GB2312" w:eastAsia="仿宋_GB2312" w:cs="仿宋_GB2312"/>
          <w:spacing w:val="0"/>
          <w:kern w:val="21"/>
          <w:sz w:val="32"/>
          <w:szCs w:val="32"/>
        </w:rPr>
        <w:t>加强对外开放平台载体建设，提升吴江开发区、汾湖高新区、吴江高新区开放型经济水平</w:t>
      </w:r>
      <w:r>
        <w:rPr>
          <w:rFonts w:hint="eastAsia" w:ascii="仿宋_GB2312" w:hAnsi="仿宋_GB2312" w:eastAsia="仿宋_GB2312" w:cs="仿宋_GB2312"/>
          <w:spacing w:val="0"/>
          <w:kern w:val="21"/>
          <w:sz w:val="32"/>
          <w:szCs w:val="32"/>
          <w:lang w:eastAsia="zh-CN"/>
        </w:rPr>
        <w:t>。</w:t>
      </w:r>
    </w:p>
    <w:p w14:paraId="6235A8C7">
      <w:pPr>
        <w:keepNext w:val="0"/>
        <w:keepLines w:val="0"/>
        <w:pageBreakBefore w:val="0"/>
        <w:kinsoku/>
        <w:wordWrap/>
        <w:overflowPunct w:val="0"/>
        <w:topLinePunct/>
        <w:autoSpaceDE/>
        <w:autoSpaceDN/>
        <w:bidi w:val="0"/>
        <w:adjustRightInd/>
        <w:snapToGrid/>
        <w:spacing w:line="560" w:lineRule="exact"/>
        <w:ind w:firstLine="619" w:firstLineChars="200"/>
        <w:textAlignment w:val="auto"/>
        <w:rPr>
          <w:rFonts w:hint="eastAsia" w:ascii="仿宋_GB2312" w:hAnsi="仿宋_GB2312" w:eastAsia="仿宋_GB2312" w:cs="仿宋_GB2312"/>
          <w:spacing w:val="0"/>
          <w:kern w:val="21"/>
          <w:sz w:val="32"/>
          <w:szCs w:val="32"/>
        </w:rPr>
      </w:pPr>
      <w:bookmarkStart w:id="382" w:name="_Toc762954044"/>
      <w:bookmarkStart w:id="383" w:name="_Toc29591"/>
      <w:bookmarkStart w:id="384" w:name="_Toc6266"/>
      <w:bookmarkStart w:id="385" w:name="_Toc417377901"/>
      <w:bookmarkStart w:id="386" w:name="_Toc245"/>
      <w:r>
        <w:rPr>
          <w:rStyle w:val="46"/>
          <w:rFonts w:hint="eastAsia" w:ascii="仿宋_GB2312" w:hAnsi="仿宋_GB2312" w:eastAsia="仿宋_GB2312" w:cs="Times New Roman"/>
          <w:b/>
          <w:bCs/>
          <w:spacing w:val="-6"/>
          <w:kern w:val="21"/>
          <w:sz w:val="32"/>
          <w:szCs w:val="32"/>
          <w:highlight w:val="none"/>
          <w:lang w:eastAsia="zh-CN"/>
        </w:rPr>
        <w:t>落实</w:t>
      </w:r>
      <w:r>
        <w:rPr>
          <w:rStyle w:val="46"/>
          <w:rFonts w:hint="eastAsia" w:ascii="仿宋_GB2312" w:hAnsi="仿宋_GB2312" w:eastAsia="仿宋_GB2312" w:cs="Times New Roman"/>
          <w:b/>
          <w:bCs/>
          <w:spacing w:val="-6"/>
          <w:kern w:val="21"/>
          <w:sz w:val="32"/>
          <w:szCs w:val="32"/>
          <w:highlight w:val="none"/>
        </w:rPr>
        <w:t>服务业扩大开放综合试点</w:t>
      </w:r>
      <w:r>
        <w:rPr>
          <w:rStyle w:val="46"/>
          <w:rFonts w:hint="eastAsia" w:ascii="仿宋_GB2312" w:hAnsi="仿宋_GB2312" w:eastAsia="仿宋_GB2312" w:cs="Times New Roman"/>
          <w:b/>
          <w:bCs/>
          <w:spacing w:val="-6"/>
          <w:kern w:val="21"/>
          <w:sz w:val="32"/>
          <w:szCs w:val="32"/>
          <w:highlight w:val="none"/>
          <w:lang w:eastAsia="zh-CN"/>
        </w:rPr>
        <w:t>任务</w:t>
      </w:r>
      <w:r>
        <w:rPr>
          <w:rStyle w:val="46"/>
          <w:rFonts w:hint="eastAsia" w:ascii="仿宋_GB2312" w:hAnsi="仿宋_GB2312" w:eastAsia="仿宋_GB2312" w:cs="Times New Roman"/>
          <w:spacing w:val="-6"/>
          <w:kern w:val="21"/>
          <w:sz w:val="32"/>
          <w:szCs w:val="32"/>
          <w:highlight w:val="none"/>
        </w:rPr>
        <w:t>。</w:t>
      </w:r>
      <w:bookmarkEnd w:id="382"/>
      <w:bookmarkEnd w:id="383"/>
      <w:bookmarkEnd w:id="384"/>
      <w:bookmarkEnd w:id="385"/>
      <w:bookmarkEnd w:id="386"/>
      <w:r>
        <w:rPr>
          <w:rFonts w:hint="eastAsia" w:ascii="仿宋_GB2312" w:hAnsi="仿宋_GB2312" w:eastAsia="仿宋_GB2312" w:cs="仿宋_GB2312"/>
          <w:spacing w:val="-6"/>
          <w:kern w:val="21"/>
          <w:sz w:val="32"/>
          <w:szCs w:val="32"/>
          <w:highlight w:val="none"/>
        </w:rPr>
        <w:t>抓住用好苏州纳入国家服务业扩大开放综合试点机遇，积极对接优质服务业项目资源，争取在电信服务、医疗康养、金融合作、商贸文</w:t>
      </w:r>
      <w:r>
        <w:rPr>
          <w:rFonts w:hint="eastAsia" w:ascii="仿宋_GB2312" w:hAnsi="仿宋_GB2312" w:eastAsia="仿宋_GB2312" w:cs="仿宋_GB2312"/>
          <w:spacing w:val="-6"/>
          <w:kern w:val="21"/>
          <w:sz w:val="32"/>
          <w:szCs w:val="32"/>
        </w:rPr>
        <w:t>旅等领域实现突破，提升“两业”融合国际竞争力，推动服务业开放提速加力。提升吴江综保区辐射带动能力，拓展保税维修、研发、检测等高附加值业务，做大做强知识产权、工业设计、专业咨询等新兴服务。</w:t>
      </w:r>
    </w:p>
    <w:p w14:paraId="46FA961A">
      <w:pPr>
        <w:pStyle w:val="3"/>
        <w:keepNext w:val="0"/>
        <w:keepLines w:val="0"/>
        <w:pageBreakBefore w:val="0"/>
        <w:kinsoku/>
        <w:wordWrap/>
        <w:overflowPunct w:val="0"/>
        <w:topLinePunct/>
        <w:autoSpaceDE/>
        <w:autoSpaceDN/>
        <w:bidi w:val="0"/>
        <w:adjustRightInd/>
        <w:spacing w:before="156" w:after="156" w:line="560" w:lineRule="exact"/>
        <w:textAlignment w:val="auto"/>
        <w:rPr>
          <w:rFonts w:ascii="楷体_GB2312" w:hAnsi="楷体_GB2312" w:eastAsia="楷体_GB2312" w:cs="楷体_GB2312"/>
          <w:spacing w:val="0"/>
          <w:kern w:val="21"/>
        </w:rPr>
      </w:pPr>
      <w:bookmarkStart w:id="387" w:name="_Toc23252"/>
      <w:bookmarkStart w:id="388" w:name="_Toc17067"/>
      <w:bookmarkStart w:id="389" w:name="_Toc1424163516"/>
      <w:bookmarkStart w:id="390" w:name="_Toc30557"/>
      <w:bookmarkStart w:id="391" w:name="_Toc1649493651"/>
      <w:bookmarkStart w:id="392" w:name="_Toc2580"/>
      <w:r>
        <w:rPr>
          <w:rFonts w:ascii="楷体_GB2312" w:hAnsi="楷体_GB2312" w:eastAsia="楷体_GB2312" w:cs="楷体_GB2312"/>
          <w:spacing w:val="0"/>
          <w:kern w:val="21"/>
        </w:rPr>
        <w:t xml:space="preserve">第二节 </w:t>
      </w:r>
      <w:r>
        <w:rPr>
          <w:rFonts w:hint="eastAsia" w:ascii="楷体_GB2312" w:hAnsi="楷体_GB2312" w:eastAsia="楷体_GB2312" w:cs="楷体_GB2312"/>
          <w:spacing w:val="0"/>
          <w:kern w:val="21"/>
          <w:lang w:val="en-US" w:eastAsia="zh-CN"/>
        </w:rPr>
        <w:t xml:space="preserve"> </w:t>
      </w:r>
      <w:r>
        <w:rPr>
          <w:rFonts w:ascii="楷体_GB2312" w:hAnsi="楷体_GB2312" w:eastAsia="楷体_GB2312" w:cs="楷体_GB2312"/>
          <w:spacing w:val="0"/>
          <w:kern w:val="21"/>
        </w:rPr>
        <w:t>稳住外贸外资基本盘</w:t>
      </w:r>
      <w:bookmarkEnd w:id="387"/>
      <w:bookmarkEnd w:id="388"/>
      <w:bookmarkEnd w:id="389"/>
      <w:bookmarkEnd w:id="390"/>
      <w:bookmarkEnd w:id="391"/>
      <w:bookmarkEnd w:id="392"/>
    </w:p>
    <w:p w14:paraId="4C25B23D">
      <w:pPr>
        <w:keepNext w:val="0"/>
        <w:keepLines w:val="0"/>
        <w:pageBreakBefore w:val="0"/>
        <w:widowControl w:val="0"/>
        <w:kinsoku/>
        <w:wordWrap/>
        <w:overflowPunct w:val="0"/>
        <w:topLinePunct/>
        <w:autoSpaceDE/>
        <w:autoSpaceDN/>
        <w:bidi w:val="0"/>
        <w:adjustRightInd/>
        <w:snapToGrid/>
        <w:spacing w:line="560" w:lineRule="exact"/>
        <w:ind w:firstLine="640" w:firstLineChars="200"/>
        <w:jc w:val="both"/>
        <w:textAlignment w:val="auto"/>
        <w:rPr>
          <w:rFonts w:hint="eastAsia" w:ascii="楷体_GB2312" w:hAnsi="楷体_GB2312" w:eastAsia="楷体_GB2312" w:cs="楷体_GB2312"/>
          <w:spacing w:val="0"/>
          <w:kern w:val="21"/>
          <w:sz w:val="32"/>
          <w:szCs w:val="32"/>
        </w:rPr>
      </w:pPr>
      <w:r>
        <w:rPr>
          <w:rFonts w:hint="eastAsia" w:ascii="仿宋_GB2312" w:hAnsi="仿宋_GB2312" w:eastAsia="仿宋_GB2312" w:cs="仿宋_GB2312"/>
          <w:spacing w:val="0"/>
          <w:kern w:val="21"/>
          <w:sz w:val="32"/>
          <w:szCs w:val="32"/>
        </w:rPr>
        <w:t>坚持高水平“走出去”和高质量“引进来”有机统一，促进外贸提质增效，打造吸引外资新优势，高质量共建“一带一路”，拓展双向投资合作新空间。</w:t>
      </w:r>
    </w:p>
    <w:p w14:paraId="5784E645">
      <w:pPr>
        <w:keepNext w:val="0"/>
        <w:keepLines w:val="0"/>
        <w:pageBreakBefore w:val="0"/>
        <w:widowControl w:val="0"/>
        <w:kinsoku/>
        <w:wordWrap/>
        <w:overflowPunct w:val="0"/>
        <w:topLinePunct/>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spacing w:val="0"/>
          <w:kern w:val="21"/>
          <w:sz w:val="32"/>
          <w:szCs w:val="32"/>
          <w:highlight w:val="none"/>
        </w:rPr>
      </w:pPr>
      <w:bookmarkStart w:id="393" w:name="_Toc1811754390"/>
      <w:bookmarkStart w:id="394" w:name="_Toc23017"/>
      <w:bookmarkStart w:id="395" w:name="_Toc14050"/>
      <w:bookmarkStart w:id="396" w:name="_Toc30018"/>
      <w:bookmarkStart w:id="397" w:name="_Toc539889087"/>
      <w:r>
        <w:rPr>
          <w:rStyle w:val="46"/>
          <w:rFonts w:hint="eastAsia" w:ascii="仿宋_GB2312" w:hAnsi="仿宋_GB2312" w:eastAsia="仿宋_GB2312" w:cs="Times New Roman"/>
          <w:b/>
          <w:bCs/>
          <w:spacing w:val="0"/>
          <w:kern w:val="21"/>
          <w:sz w:val="32"/>
          <w:szCs w:val="32"/>
        </w:rPr>
        <w:t>推动外贸创新发展</w:t>
      </w:r>
      <w:bookmarkEnd w:id="393"/>
      <w:bookmarkEnd w:id="394"/>
      <w:bookmarkEnd w:id="395"/>
      <w:bookmarkEnd w:id="396"/>
      <w:bookmarkEnd w:id="397"/>
      <w:r>
        <w:rPr>
          <w:rFonts w:hint="eastAsia" w:ascii="仿宋_GB2312" w:hAnsi="仿宋_GB2312" w:eastAsia="仿宋_GB2312" w:cs="仿宋_GB2312"/>
          <w:b/>
          <w:bCs/>
          <w:spacing w:val="0"/>
          <w:kern w:val="21"/>
          <w:sz w:val="32"/>
          <w:szCs w:val="32"/>
        </w:rPr>
        <w:t>。</w:t>
      </w:r>
      <w:r>
        <w:rPr>
          <w:rFonts w:hint="eastAsia" w:ascii="仿宋_GB2312" w:hAnsi="仿宋_GB2312" w:eastAsia="仿宋_GB2312" w:cs="仿宋_GB2312"/>
          <w:spacing w:val="0"/>
          <w:kern w:val="21"/>
          <w:sz w:val="32"/>
          <w:szCs w:val="32"/>
        </w:rPr>
        <w:t>稳住欧美日韩等传统市场，持续开拓东盟、中东欧、拉美等新兴市场，不断提升对“一带一路”沿线国家地区市场份额</w:t>
      </w:r>
      <w:r>
        <w:rPr>
          <w:rFonts w:hint="eastAsia" w:ascii="仿宋_GB2312" w:hAnsi="仿宋_GB2312" w:eastAsia="仿宋_GB2312" w:cs="仿宋_GB2312"/>
          <w:spacing w:val="0"/>
          <w:kern w:val="21"/>
          <w:sz w:val="32"/>
          <w:szCs w:val="32"/>
          <w:lang w:eastAsia="zh-CN"/>
        </w:rPr>
        <w:t>，推进两岸经贸合作。</w:t>
      </w:r>
      <w:r>
        <w:rPr>
          <w:rFonts w:hint="eastAsia" w:ascii="仿宋_GB2312" w:hAnsi="仿宋_GB2312" w:eastAsia="仿宋_GB2312" w:cs="仿宋_GB2312"/>
          <w:spacing w:val="0"/>
          <w:kern w:val="21"/>
          <w:sz w:val="32"/>
          <w:szCs w:val="32"/>
        </w:rPr>
        <w:t>推进加工贸易转型升级，推动传统产品出口向价值链高端延伸，扩大高附加值产品出口，培育一批创新能力强、具有全球竞争力的优势出口企业。优化资源、品牌、物流、服务等渠道体系，引进培育更多贸易型总部及各类贸易主体。推进苏州跨境电商综试区吴</w:t>
      </w:r>
      <w:r>
        <w:rPr>
          <w:rFonts w:hint="eastAsia" w:ascii="仿宋_GB2312" w:hAnsi="仿宋_GB2312" w:eastAsia="仿宋_GB2312" w:cs="仿宋_GB2312"/>
          <w:spacing w:val="0"/>
          <w:kern w:val="21"/>
          <w:sz w:val="32"/>
          <w:szCs w:val="32"/>
          <w:highlight w:val="none"/>
        </w:rPr>
        <w:t>江线下园区、中国东方丝绸市场跨境电商产业集聚区建设，加快“跨境电商+产业带”和海外仓布局。创新发展服务贸易，积极培育中间品贸易、绿色贸易、数字贸易。加快推进内外贸一体化，拓宽外贸企业市场空间。推进高水平“走出去”，</w:t>
      </w:r>
      <w:r>
        <w:rPr>
          <w:rFonts w:hint="eastAsia" w:ascii="仿宋_GB2312" w:hAnsi="仿宋_GB2312" w:eastAsia="仿宋_GB2312" w:cs="仿宋_GB2312"/>
          <w:spacing w:val="0"/>
          <w:kern w:val="21"/>
          <w:sz w:val="32"/>
          <w:szCs w:val="32"/>
          <w:highlight w:val="none"/>
          <w:lang w:eastAsia="zh-CN"/>
        </w:rPr>
        <w:t>强化国际产能合作和第三方市场合作，</w:t>
      </w:r>
      <w:r>
        <w:rPr>
          <w:rFonts w:hint="eastAsia" w:ascii="仿宋_GB2312" w:hAnsi="仿宋_GB2312" w:eastAsia="仿宋_GB2312" w:cs="仿宋_GB2312"/>
          <w:spacing w:val="0"/>
          <w:kern w:val="21"/>
          <w:sz w:val="32"/>
          <w:szCs w:val="32"/>
          <w:highlight w:val="none"/>
        </w:rPr>
        <w:t>提升企业获取境外资源、市场和技术的能力，培育本土跨国公司，打造全球品牌。</w:t>
      </w:r>
    </w:p>
    <w:p w14:paraId="20C69CCC">
      <w:pPr>
        <w:keepNext w:val="0"/>
        <w:keepLines w:val="0"/>
        <w:pageBreakBefore w:val="0"/>
        <w:widowControl w:val="0"/>
        <w:numPr>
          <w:ilvl w:val="255"/>
          <w:numId w:val="0"/>
        </w:numPr>
        <w:kinsoku/>
        <w:wordWrap/>
        <w:overflowPunct w:val="0"/>
        <w:topLinePunct/>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spacing w:val="0"/>
          <w:kern w:val="21"/>
          <w:sz w:val="32"/>
          <w:szCs w:val="32"/>
          <w:lang w:eastAsia="zh-CN"/>
        </w:rPr>
      </w:pPr>
      <w:bookmarkStart w:id="398" w:name="_Toc30050"/>
      <w:bookmarkStart w:id="399" w:name="_Toc23435"/>
      <w:bookmarkStart w:id="400" w:name="_Toc23816"/>
      <w:r>
        <w:rPr>
          <w:rStyle w:val="46"/>
          <w:rFonts w:hint="eastAsia" w:ascii="仿宋_GB2312" w:hAnsi="仿宋_GB2312" w:eastAsia="仿宋_GB2312" w:cs="仿宋_GB2312"/>
          <w:b/>
          <w:bCs/>
          <w:spacing w:val="0"/>
          <w:kern w:val="21"/>
          <w:sz w:val="32"/>
          <w:szCs w:val="32"/>
          <w:highlight w:val="none"/>
        </w:rPr>
        <w:t>推动利用外资提档升级</w:t>
      </w:r>
      <w:bookmarkEnd w:id="398"/>
      <w:bookmarkEnd w:id="399"/>
      <w:bookmarkEnd w:id="400"/>
      <w:r>
        <w:rPr>
          <w:rFonts w:hint="eastAsia" w:ascii="仿宋_GB2312" w:hAnsi="仿宋_GB2312" w:eastAsia="仿宋_GB2312" w:cs="仿宋_GB2312"/>
          <w:b/>
          <w:bCs/>
          <w:spacing w:val="0"/>
          <w:kern w:val="21"/>
          <w:sz w:val="32"/>
          <w:szCs w:val="32"/>
          <w:highlight w:val="none"/>
        </w:rPr>
        <w:t>。</w:t>
      </w:r>
      <w:r>
        <w:rPr>
          <w:rFonts w:hint="eastAsia" w:ascii="仿宋_GB2312" w:hAnsi="仿宋_GB2312" w:eastAsia="仿宋_GB2312" w:cs="仿宋_GB2312"/>
          <w:spacing w:val="0"/>
          <w:kern w:val="21"/>
          <w:sz w:val="32"/>
          <w:szCs w:val="32"/>
          <w:highlight w:val="none"/>
        </w:rPr>
        <w:t>深入实施外资准入前国民待遇加负面清单管理制度，落实鼓励外商投资产业目录。瞄准欧美、日韩等重点国家地区以及世界500强、全球行业领军企业等，精准化开展产业链招商。</w:t>
      </w:r>
      <w:r>
        <w:rPr>
          <w:rFonts w:hint="eastAsia" w:ascii="仿宋_GB2312" w:hAnsi="仿宋_GB2312" w:eastAsia="仿宋_GB2312" w:cs="仿宋_GB2312"/>
          <w:spacing w:val="0"/>
          <w:sz w:val="31"/>
          <w:szCs w:val="31"/>
          <w:highlight w:val="none"/>
          <w:lang w:eastAsia="zh-CN"/>
        </w:rPr>
        <w:t>深</w:t>
      </w:r>
      <w:r>
        <w:rPr>
          <w:rFonts w:hint="eastAsia" w:ascii="仿宋_GB2312" w:hAnsi="仿宋_GB2312" w:eastAsia="仿宋_GB2312" w:cs="仿宋_GB2312"/>
          <w:spacing w:val="0"/>
          <w:sz w:val="31"/>
          <w:szCs w:val="31"/>
          <w:lang w:eastAsia="zh-CN"/>
        </w:rPr>
        <w:t>化合格境外有限合伙人（QFLP）余额管理制度创新试点，探索海外主权基金、外资战略投资等引资模式，</w:t>
      </w:r>
      <w:r>
        <w:rPr>
          <w:rFonts w:hint="eastAsia" w:ascii="仿宋_GB2312" w:hAnsi="仿宋_GB2312" w:eastAsia="仿宋_GB2312" w:cs="仿宋_GB2312"/>
          <w:spacing w:val="0"/>
          <w:kern w:val="21"/>
          <w:sz w:val="32"/>
          <w:szCs w:val="32"/>
        </w:rPr>
        <w:t>推动外资</w:t>
      </w:r>
      <w:r>
        <w:rPr>
          <w:rFonts w:hint="eastAsia" w:ascii="仿宋_GB2312" w:hAnsi="仿宋_GB2312" w:eastAsia="仿宋_GB2312" w:cs="仿宋_GB2312"/>
          <w:spacing w:val="0"/>
          <w:kern w:val="21"/>
          <w:sz w:val="32"/>
          <w:szCs w:val="32"/>
          <w:lang w:eastAsia="zh-CN"/>
        </w:rPr>
        <w:t>投向</w:t>
      </w:r>
      <w:r>
        <w:rPr>
          <w:rFonts w:hint="eastAsia" w:ascii="仿宋_GB2312" w:hAnsi="仿宋_GB2312" w:eastAsia="仿宋_GB2312" w:cs="仿宋_GB2312"/>
          <w:spacing w:val="0"/>
          <w:kern w:val="21"/>
          <w:sz w:val="32"/>
          <w:szCs w:val="32"/>
        </w:rPr>
        <w:t>多元领域</w:t>
      </w:r>
      <w:r>
        <w:rPr>
          <w:rFonts w:ascii="仿宋_GB2312" w:hAnsi="仿宋_GB2312" w:eastAsia="仿宋_GB2312" w:cs="仿宋_GB2312"/>
          <w:spacing w:val="0"/>
          <w:sz w:val="31"/>
          <w:szCs w:val="31"/>
          <w:lang w:eastAsia="zh-CN"/>
        </w:rPr>
        <w:t>。深入实施关于境外投资者以分配利润直接投资税收抵免政策</w:t>
      </w:r>
      <w:r>
        <w:rPr>
          <w:rFonts w:hint="eastAsia" w:ascii="仿宋_GB2312" w:hAnsi="仿宋_GB2312" w:eastAsia="仿宋_GB2312" w:cs="仿宋_GB2312"/>
          <w:spacing w:val="0"/>
          <w:sz w:val="31"/>
          <w:szCs w:val="31"/>
          <w:lang w:eastAsia="zh-CN"/>
        </w:rPr>
        <w:t>，</w:t>
      </w:r>
      <w:r>
        <w:rPr>
          <w:rFonts w:ascii="仿宋_GB2312" w:hAnsi="仿宋_GB2312" w:eastAsia="仿宋_GB2312" w:cs="仿宋_GB2312"/>
          <w:spacing w:val="0"/>
          <w:sz w:val="31"/>
          <w:szCs w:val="31"/>
          <w:lang w:eastAsia="zh-CN"/>
        </w:rPr>
        <w:t>引导外资企业以利润再投资、资本（盈余）公积</w:t>
      </w:r>
      <w:r>
        <w:rPr>
          <w:rFonts w:hint="eastAsia" w:ascii="仿宋_GB2312" w:hAnsi="仿宋_GB2312" w:eastAsia="仿宋_GB2312" w:cs="仿宋_GB2312"/>
          <w:spacing w:val="0"/>
          <w:sz w:val="31"/>
          <w:szCs w:val="31"/>
          <w:lang w:eastAsia="zh-CN"/>
        </w:rPr>
        <w:t>转增</w:t>
      </w:r>
      <w:r>
        <w:rPr>
          <w:rFonts w:ascii="仿宋_GB2312" w:hAnsi="仿宋_GB2312" w:eastAsia="仿宋_GB2312" w:cs="仿宋_GB2312"/>
          <w:spacing w:val="0"/>
          <w:sz w:val="31"/>
          <w:szCs w:val="31"/>
          <w:lang w:eastAsia="zh-CN"/>
        </w:rPr>
        <w:t>、债转股等方式扩大投资。</w:t>
      </w:r>
      <w:r>
        <w:rPr>
          <w:rFonts w:hint="eastAsia" w:ascii="仿宋_GB2312" w:hAnsi="仿宋_GB2312" w:eastAsia="仿宋_GB2312" w:cs="仿宋_GB2312"/>
          <w:spacing w:val="0"/>
          <w:kern w:val="21"/>
          <w:sz w:val="32"/>
          <w:szCs w:val="32"/>
        </w:rPr>
        <w:t>支持外资企业加强研发创新，</w:t>
      </w:r>
      <w:r>
        <w:rPr>
          <w:rFonts w:hint="eastAsia" w:ascii="仿宋_GB2312" w:hAnsi="仿宋_GB2312" w:eastAsia="仿宋_GB2312" w:cs="仿宋_GB2312"/>
          <w:spacing w:val="0"/>
          <w:sz w:val="31"/>
          <w:szCs w:val="31"/>
          <w:lang w:eastAsia="zh-CN"/>
        </w:rPr>
        <w:t>招引培育跨国公司地区总部和功能性机构，</w:t>
      </w:r>
      <w:r>
        <w:rPr>
          <w:rFonts w:hint="eastAsia" w:ascii="仿宋_GB2312" w:hAnsi="仿宋_GB2312" w:eastAsia="仿宋_GB2312" w:cs="仿宋_GB2312"/>
          <w:spacing w:val="0"/>
          <w:kern w:val="21"/>
          <w:sz w:val="32"/>
          <w:szCs w:val="32"/>
        </w:rPr>
        <w:t>推动外资研发中心和外资总部机构协同发展。完善外资项目全流程跟踪服务，推动各类招商大会签约项目加快落地。</w:t>
      </w:r>
      <w:r>
        <w:rPr>
          <w:rFonts w:hint="eastAsia" w:ascii="仿宋_GB2312" w:hAnsi="仿宋_GB2312" w:eastAsia="仿宋_GB2312" w:cs="仿宋_GB2312"/>
          <w:spacing w:val="0"/>
          <w:sz w:val="32"/>
          <w:szCs w:val="32"/>
        </w:rPr>
        <w:t>到2030年，新增跨国公司地区总部及功能性机构</w:t>
      </w:r>
      <w:r>
        <w:rPr>
          <w:rFonts w:hint="eastAsia" w:ascii="仿宋_GB2312" w:hAnsi="仿宋_GB2312" w:eastAsia="仿宋_GB2312" w:cs="仿宋_GB2312"/>
          <w:spacing w:val="0"/>
          <w:sz w:val="32"/>
          <w:szCs w:val="32"/>
          <w:highlight w:val="none"/>
          <w:lang w:val="en-US" w:eastAsia="zh-CN"/>
        </w:rPr>
        <w:t>3</w:t>
      </w:r>
      <w:r>
        <w:rPr>
          <w:rFonts w:hint="eastAsia" w:ascii="仿宋_GB2312" w:hAnsi="仿宋_GB2312" w:eastAsia="仿宋_GB2312" w:cs="仿宋_GB2312"/>
          <w:spacing w:val="0"/>
          <w:sz w:val="32"/>
          <w:szCs w:val="32"/>
        </w:rPr>
        <w:t>家</w:t>
      </w:r>
      <w:r>
        <w:rPr>
          <w:rFonts w:hint="eastAsia" w:ascii="仿宋_GB2312" w:hAnsi="仿宋_GB2312" w:eastAsia="仿宋_GB2312" w:cs="仿宋_GB2312"/>
          <w:spacing w:val="0"/>
          <w:sz w:val="32"/>
          <w:szCs w:val="32"/>
          <w:lang w:eastAsia="zh-CN"/>
        </w:rPr>
        <w:t>。</w:t>
      </w:r>
    </w:p>
    <w:p w14:paraId="79D1DB13">
      <w:pPr>
        <w:keepNext w:val="0"/>
        <w:keepLines w:val="0"/>
        <w:pageBreakBefore w:val="0"/>
        <w:kinsoku/>
        <w:wordWrap/>
        <w:overflowPunct w:val="0"/>
        <w:topLinePunct/>
        <w:autoSpaceDE/>
        <w:autoSpaceDN/>
        <w:bidi w:val="0"/>
        <w:adjustRightInd/>
        <w:spacing w:line="560" w:lineRule="exact"/>
        <w:jc w:val="left"/>
        <w:textAlignment w:val="auto"/>
        <w:rPr>
          <w:rFonts w:hint="eastAsia" w:ascii="仿宋_GB2312" w:hAnsi="仿宋_GB2312" w:eastAsia="仿宋_GB2312" w:cs="仿宋_GB2312"/>
          <w:spacing w:val="0"/>
          <w:kern w:val="21"/>
          <w:sz w:val="32"/>
          <w:szCs w:val="32"/>
        </w:rPr>
      </w:pPr>
      <w:r>
        <w:rPr>
          <w:rFonts w:hint="eastAsia" w:ascii="仿宋_GB2312" w:hAnsi="仿宋_GB2312" w:eastAsia="仿宋_GB2312" w:cs="仿宋_GB2312"/>
          <w:spacing w:val="0"/>
          <w:kern w:val="21"/>
          <w:sz w:val="32"/>
          <w:szCs w:val="32"/>
        </w:rPr>
        <w:br w:type="page"/>
      </w:r>
    </w:p>
    <w:p w14:paraId="4BC02F4D">
      <w:pPr>
        <w:pStyle w:val="2"/>
        <w:keepNext w:val="0"/>
        <w:keepLines w:val="0"/>
        <w:pageBreakBefore w:val="0"/>
        <w:kinsoku/>
        <w:wordWrap/>
        <w:overflowPunct w:val="0"/>
        <w:topLinePunct/>
        <w:autoSpaceDE/>
        <w:autoSpaceDN/>
        <w:bidi w:val="0"/>
        <w:adjustRightInd/>
        <w:spacing w:line="560" w:lineRule="exact"/>
        <w:textAlignment w:val="auto"/>
        <w:rPr>
          <w:rFonts w:ascii="Calibri" w:hAnsi="Calibri"/>
          <w:spacing w:val="-11"/>
          <w:kern w:val="21"/>
        </w:rPr>
      </w:pPr>
      <w:bookmarkStart w:id="401" w:name="_Toc29582"/>
      <w:bookmarkStart w:id="402" w:name="_Toc964828998"/>
      <w:bookmarkStart w:id="403" w:name="_Toc13044"/>
      <w:bookmarkStart w:id="404" w:name="_Toc990487969"/>
      <w:bookmarkStart w:id="405" w:name="_Toc7313"/>
      <w:bookmarkStart w:id="406" w:name="_Toc1018"/>
      <w:bookmarkStart w:id="407" w:name="_Toc1479030561"/>
      <w:bookmarkStart w:id="408" w:name="_Toc23118"/>
      <w:bookmarkStart w:id="409" w:name="_Toc30286"/>
      <w:bookmarkStart w:id="410" w:name="_Toc11981"/>
      <w:bookmarkStart w:id="411" w:name="_Toc17298"/>
      <w:bookmarkStart w:id="412" w:name="_Toc9775"/>
      <w:bookmarkStart w:id="413" w:name="_Toc23161"/>
      <w:bookmarkStart w:id="414" w:name="_Toc1237695023"/>
      <w:bookmarkStart w:id="415" w:name="_Toc10962"/>
      <w:r>
        <w:rPr>
          <w:rFonts w:hint="default" w:ascii="Calibri" w:hAnsi="Calibri"/>
          <w:spacing w:val="-11"/>
          <w:kern w:val="21"/>
        </w:rPr>
        <w:t>第</w:t>
      </w:r>
      <w:r>
        <w:rPr>
          <w:rFonts w:hint="default" w:ascii="Calibri" w:hAnsi="Calibri"/>
          <w:spacing w:val="-11"/>
          <w:kern w:val="21"/>
          <w:lang w:eastAsia="zh-CN"/>
        </w:rPr>
        <w:t>九</w:t>
      </w:r>
      <w:r>
        <w:rPr>
          <w:rFonts w:hint="default" w:ascii="Calibri" w:hAnsi="Calibri"/>
          <w:spacing w:val="-11"/>
          <w:kern w:val="21"/>
        </w:rPr>
        <w:t xml:space="preserve">章  </w:t>
      </w:r>
      <w:r>
        <w:rPr>
          <w:rStyle w:val="27"/>
          <w:rFonts w:hint="default" w:ascii="Calibri" w:hAnsi="Calibri" w:eastAsia="黑体"/>
          <w:b w:val="0"/>
          <w:bCs/>
          <w:snapToGrid w:val="0"/>
          <w:color w:val="auto"/>
          <w:spacing w:val="-11"/>
          <w:sz w:val="32"/>
          <w:szCs w:val="32"/>
          <w:shd w:val="clear" w:color="auto" w:fill="FFFFFF"/>
          <w:lang w:eastAsia="zh-CN"/>
        </w:rPr>
        <w:t>统筹推进</w:t>
      </w:r>
      <w:r>
        <w:rPr>
          <w:rStyle w:val="27"/>
          <w:rFonts w:hint="default" w:ascii="Calibri" w:hAnsi="Calibri" w:eastAsia="黑体"/>
          <w:b w:val="0"/>
          <w:bCs/>
          <w:snapToGrid w:val="0"/>
          <w:color w:val="auto"/>
          <w:spacing w:val="-11"/>
          <w:sz w:val="32"/>
          <w:szCs w:val="32"/>
          <w:shd w:val="clear" w:color="auto" w:fill="FFFFFF"/>
        </w:rPr>
        <w:t>新型城镇化和乡村全面振兴</w:t>
      </w:r>
      <w:r>
        <w:rPr>
          <w:rStyle w:val="27"/>
          <w:rFonts w:hint="default" w:ascii="Calibri" w:hAnsi="Calibri" w:eastAsia="黑体"/>
          <w:b w:val="0"/>
          <w:bCs/>
          <w:snapToGrid w:val="0"/>
          <w:color w:val="auto"/>
          <w:spacing w:val="-11"/>
          <w:sz w:val="32"/>
          <w:szCs w:val="32"/>
          <w:shd w:val="clear" w:color="auto" w:fill="FFFFFF"/>
          <w:lang w:eastAsia="zh-CN"/>
        </w:rPr>
        <w:t>，促进</w:t>
      </w:r>
      <w:r>
        <w:rPr>
          <w:rStyle w:val="27"/>
          <w:rFonts w:hint="default" w:ascii="Calibri" w:hAnsi="Calibri" w:eastAsia="黑体"/>
          <w:b w:val="0"/>
          <w:bCs/>
          <w:snapToGrid w:val="0"/>
          <w:color w:val="auto"/>
          <w:spacing w:val="-11"/>
          <w:sz w:val="32"/>
          <w:szCs w:val="32"/>
          <w:shd w:val="clear" w:color="auto" w:fill="FFFFFF"/>
        </w:rPr>
        <w:t>城乡融合发展</w:t>
      </w:r>
      <w:bookmarkEnd w:id="401"/>
      <w:bookmarkEnd w:id="402"/>
      <w:bookmarkEnd w:id="403"/>
      <w:bookmarkEnd w:id="404"/>
      <w:bookmarkEnd w:id="405"/>
    </w:p>
    <w:p w14:paraId="3A46AE75">
      <w:pPr>
        <w:keepNext w:val="0"/>
        <w:keepLines w:val="0"/>
        <w:pageBreakBefore w:val="0"/>
        <w:widowControl w:val="0"/>
        <w:kinsoku/>
        <w:wordWrap/>
        <w:overflowPunct w:val="0"/>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snapToGrid w:val="0"/>
          <w:color w:val="auto"/>
          <w:spacing w:val="0"/>
          <w:kern w:val="0"/>
          <w:sz w:val="32"/>
          <w:szCs w:val="32"/>
          <w:shd w:val="clear" w:color="auto" w:fill="FFFFFF"/>
          <w:lang w:val="en-US" w:eastAsia="zh-CN" w:bidi="ar"/>
        </w:rPr>
      </w:pPr>
      <w:bookmarkStart w:id="416" w:name="_Toc24720"/>
      <w:bookmarkStart w:id="417" w:name="_Toc13181"/>
    </w:p>
    <w:p w14:paraId="147A38FA">
      <w:pPr>
        <w:keepNext w:val="0"/>
        <w:keepLines w:val="0"/>
        <w:pageBreakBefore w:val="0"/>
        <w:widowControl w:val="0"/>
        <w:kinsoku/>
        <w:wordWrap/>
        <w:overflowPunct w:val="0"/>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snapToGrid w:val="0"/>
          <w:spacing w:val="0"/>
          <w:sz w:val="32"/>
          <w:szCs w:val="32"/>
          <w:shd w:val="clear" w:color="auto" w:fill="FFFFFF"/>
          <w:lang w:val="en-US" w:eastAsia="zh-CN"/>
        </w:rPr>
      </w:pPr>
      <w:r>
        <w:rPr>
          <w:rFonts w:hint="eastAsia" w:ascii="仿宋_GB2312" w:hAnsi="仿宋_GB2312" w:eastAsia="仿宋_GB2312" w:cs="仿宋_GB2312"/>
          <w:b w:val="0"/>
          <w:snapToGrid w:val="0"/>
          <w:color w:val="auto"/>
          <w:spacing w:val="0"/>
          <w:kern w:val="0"/>
          <w:sz w:val="32"/>
          <w:szCs w:val="32"/>
          <w:shd w:val="clear" w:color="auto" w:fill="FFFFFF"/>
          <w:lang w:val="en-US" w:eastAsia="zh-CN" w:bidi="ar"/>
        </w:rPr>
        <w:t>坚持城乡整体统筹，落实苏州乡村全面振兴工程，有力有序推动城市更新，</w:t>
      </w:r>
      <w:r>
        <w:rPr>
          <w:rFonts w:hint="eastAsia" w:ascii="仿宋_GB2312" w:hAnsi="仿宋_GB2312" w:eastAsia="仿宋_GB2312" w:cs="仿宋_GB2312"/>
          <w:b w:val="0"/>
          <w:snapToGrid w:val="0"/>
          <w:spacing w:val="0"/>
          <w:sz w:val="32"/>
          <w:szCs w:val="32"/>
          <w:shd w:val="clear" w:color="auto" w:fill="FFFFFF"/>
        </w:rPr>
        <w:t>不断健全城乡融合发展的体制机制，</w:t>
      </w:r>
      <w:r>
        <w:rPr>
          <w:rFonts w:hint="eastAsia" w:ascii="仿宋_GB2312" w:hAnsi="仿宋_GB2312" w:eastAsia="仿宋_GB2312" w:cs="仿宋_GB2312"/>
          <w:b w:val="0"/>
          <w:snapToGrid w:val="0"/>
          <w:color w:val="auto"/>
          <w:spacing w:val="0"/>
          <w:kern w:val="0"/>
          <w:sz w:val="32"/>
          <w:szCs w:val="32"/>
          <w:shd w:val="clear" w:color="auto" w:fill="FFFFFF"/>
          <w:lang w:val="en-US" w:eastAsia="zh-CN" w:bidi="ar"/>
        </w:rPr>
        <w:t>促进城乡要素平等交换、双向流动，</w:t>
      </w:r>
      <w:r>
        <w:rPr>
          <w:rFonts w:hint="eastAsia" w:ascii="仿宋_GB2312" w:hAnsi="仿宋_GB2312" w:eastAsia="仿宋_GB2312" w:cs="仿宋_GB2312"/>
          <w:snapToGrid w:val="0"/>
          <w:spacing w:val="0"/>
          <w:sz w:val="32"/>
          <w:szCs w:val="32"/>
          <w:shd w:val="clear" w:color="auto" w:fill="FFFFFF"/>
          <w:lang w:eastAsia="zh-CN"/>
        </w:rPr>
        <w:t>更好</w:t>
      </w:r>
      <w:r>
        <w:rPr>
          <w:rFonts w:hint="eastAsia" w:ascii="仿宋_GB2312" w:hAnsi="仿宋_GB2312" w:eastAsia="仿宋_GB2312" w:cs="仿宋_GB2312"/>
          <w:snapToGrid w:val="0"/>
          <w:spacing w:val="0"/>
          <w:sz w:val="32"/>
          <w:szCs w:val="32"/>
          <w:shd w:val="clear" w:color="auto" w:fill="FFFFFF"/>
        </w:rPr>
        <w:t>实现均衡发展与共同繁荣</w:t>
      </w:r>
      <w:r>
        <w:rPr>
          <w:rFonts w:hint="eastAsia" w:ascii="仿宋_GB2312" w:hAnsi="仿宋_GB2312" w:eastAsia="仿宋_GB2312" w:cs="仿宋_GB2312"/>
          <w:b w:val="0"/>
          <w:snapToGrid w:val="0"/>
          <w:spacing w:val="0"/>
          <w:sz w:val="32"/>
          <w:szCs w:val="32"/>
          <w:shd w:val="clear" w:color="auto" w:fill="FFFFFF"/>
          <w:lang w:eastAsia="zh-CN"/>
        </w:rPr>
        <w:t>。</w:t>
      </w:r>
    </w:p>
    <w:p w14:paraId="5A9AE86B">
      <w:pPr>
        <w:pStyle w:val="3"/>
        <w:keepNext w:val="0"/>
        <w:keepLines w:val="0"/>
        <w:pageBreakBefore w:val="0"/>
        <w:widowControl w:val="0"/>
        <w:kinsoku/>
        <w:wordWrap/>
        <w:overflowPunct w:val="0"/>
        <w:topLinePunct/>
        <w:autoSpaceDE/>
        <w:autoSpaceDN/>
        <w:bidi w:val="0"/>
        <w:adjustRightInd/>
        <w:spacing w:before="156" w:after="156" w:line="560" w:lineRule="exact"/>
        <w:jc w:val="center"/>
        <w:textAlignment w:val="auto"/>
        <w:rPr>
          <w:rFonts w:hint="default" w:eastAsia="楷体_GB2312"/>
          <w:spacing w:val="0"/>
          <w:kern w:val="21"/>
          <w:lang w:val="en-US" w:eastAsia="zh-CN"/>
        </w:rPr>
      </w:pPr>
      <w:bookmarkStart w:id="418" w:name="_Toc1899026864"/>
      <w:bookmarkStart w:id="419" w:name="_Toc1252806703"/>
      <w:bookmarkStart w:id="420" w:name="_Toc11749"/>
      <w:bookmarkStart w:id="421" w:name="_Toc29616"/>
      <w:bookmarkStart w:id="422" w:name="_Toc31092"/>
      <w:r>
        <w:rPr>
          <w:rFonts w:ascii="楷体_GB2312" w:hAnsi="楷体_GB2312" w:eastAsia="楷体_GB2312" w:cs="楷体_GB2312"/>
          <w:spacing w:val="0"/>
          <w:kern w:val="21"/>
        </w:rPr>
        <w:t>第</w:t>
      </w:r>
      <w:r>
        <w:rPr>
          <w:rFonts w:hint="eastAsia" w:ascii="楷体_GB2312" w:hAnsi="楷体_GB2312" w:eastAsia="楷体_GB2312" w:cs="楷体_GB2312"/>
          <w:spacing w:val="0"/>
          <w:kern w:val="21"/>
          <w:lang w:eastAsia="zh-CN"/>
        </w:rPr>
        <w:t>一</w:t>
      </w:r>
      <w:r>
        <w:rPr>
          <w:rFonts w:ascii="楷体_GB2312" w:hAnsi="楷体_GB2312" w:eastAsia="楷体_GB2312" w:cs="楷体_GB2312"/>
          <w:spacing w:val="0"/>
          <w:kern w:val="21"/>
        </w:rPr>
        <w:t xml:space="preserve">节 </w:t>
      </w:r>
      <w:bookmarkEnd w:id="416"/>
      <w:bookmarkEnd w:id="417"/>
      <w:bookmarkEnd w:id="418"/>
      <w:bookmarkEnd w:id="419"/>
      <w:bookmarkEnd w:id="420"/>
      <w:bookmarkEnd w:id="421"/>
      <w:r>
        <w:rPr>
          <w:rFonts w:hint="eastAsia" w:ascii="楷体_GB2312" w:hAnsi="楷体_GB2312" w:eastAsia="楷体_GB2312" w:cs="楷体_GB2312"/>
          <w:spacing w:val="0"/>
          <w:kern w:val="21"/>
          <w:lang w:val="en-US" w:eastAsia="zh-CN"/>
        </w:rPr>
        <w:t xml:space="preserve"> 提高城市发展质量</w:t>
      </w:r>
      <w:bookmarkEnd w:id="422"/>
    </w:p>
    <w:p w14:paraId="6262BBCD">
      <w:pPr>
        <w:keepNext w:val="0"/>
        <w:keepLines w:val="0"/>
        <w:pageBreakBefore w:val="0"/>
        <w:widowControl w:val="0"/>
        <w:kinsoku/>
        <w:wordWrap/>
        <w:overflowPunct w:val="0"/>
        <w:topLinePunct/>
        <w:autoSpaceDE/>
        <w:autoSpaceDN/>
        <w:bidi w:val="0"/>
        <w:adjustRightInd/>
        <w:spacing w:line="560" w:lineRule="exact"/>
        <w:ind w:firstLine="640" w:firstLineChars="200"/>
        <w:jc w:val="both"/>
        <w:textAlignment w:val="auto"/>
        <w:rPr>
          <w:rFonts w:hint="eastAsia" w:ascii="仿宋_GB2312" w:hAnsi="仿宋_GB2312" w:eastAsia="仿宋_GB2312" w:cs="仿宋_GB2312"/>
          <w:spacing w:val="0"/>
          <w:kern w:val="21"/>
          <w:sz w:val="32"/>
          <w:szCs w:val="32"/>
        </w:rPr>
      </w:pPr>
      <w:r>
        <w:rPr>
          <w:rFonts w:hint="eastAsia" w:ascii="仿宋_GB2312" w:hAnsi="仿宋_GB2312" w:eastAsia="仿宋_GB2312" w:cs="仿宋_GB2312"/>
          <w:spacing w:val="0"/>
          <w:kern w:val="21"/>
          <w:sz w:val="32"/>
          <w:szCs w:val="32"/>
        </w:rPr>
        <w:t>推动城市内涵式发展，大力实施城市更新，优化城市空间结构，</w:t>
      </w:r>
      <w:r>
        <w:rPr>
          <w:rFonts w:hint="eastAsia" w:ascii="仿宋_GB2312" w:hAnsi="仿宋_GB2312" w:eastAsia="仿宋_GB2312" w:cs="仿宋_GB2312"/>
          <w:color w:val="auto"/>
          <w:spacing w:val="0"/>
          <w:sz w:val="32"/>
          <w:szCs w:val="32"/>
          <w:highlight w:val="none"/>
          <w:lang w:val="en-US" w:eastAsia="zh-CN"/>
        </w:rPr>
        <w:t>提升产业支撑能力和公共服务水平，</w:t>
      </w:r>
      <w:r>
        <w:rPr>
          <w:rFonts w:hint="eastAsia" w:ascii="仿宋_GB2312" w:hAnsi="仿宋_GB2312" w:eastAsia="仿宋_GB2312" w:cs="仿宋_GB2312"/>
          <w:spacing w:val="0"/>
          <w:kern w:val="21"/>
          <w:sz w:val="32"/>
          <w:szCs w:val="32"/>
        </w:rPr>
        <w:t>建设创新、宜居、美丽、韧性、文明、智慧的现代化人民城市。</w:t>
      </w:r>
    </w:p>
    <w:p w14:paraId="27A51306">
      <w:pPr>
        <w:keepNext w:val="0"/>
        <w:keepLines w:val="0"/>
        <w:pageBreakBefore w:val="0"/>
        <w:widowControl w:val="0"/>
        <w:kinsoku/>
        <w:wordWrap/>
        <w:overflowPunct w:val="0"/>
        <w:topLinePunct/>
        <w:autoSpaceDE/>
        <w:autoSpaceDN/>
        <w:bidi w:val="0"/>
        <w:adjustRightInd/>
        <w:spacing w:line="560" w:lineRule="exact"/>
        <w:ind w:firstLine="643" w:firstLineChars="200"/>
        <w:jc w:val="both"/>
        <w:textAlignment w:val="auto"/>
        <w:rPr>
          <w:rFonts w:hint="eastAsia" w:ascii="仿宋_GB2312" w:hAnsi="仿宋_GB2312" w:eastAsia="仿宋_GB2312" w:cs="仿宋_GB2312"/>
          <w:spacing w:val="0"/>
          <w:kern w:val="21"/>
          <w:sz w:val="32"/>
          <w:szCs w:val="32"/>
        </w:rPr>
      </w:pPr>
      <w:bookmarkStart w:id="423" w:name="_Toc6563"/>
      <w:bookmarkStart w:id="424" w:name="_Toc20463"/>
      <w:bookmarkStart w:id="425" w:name="_Toc27188"/>
      <w:bookmarkStart w:id="426" w:name="_Toc1939347390"/>
      <w:bookmarkStart w:id="427" w:name="_Toc378707677"/>
      <w:r>
        <w:rPr>
          <w:rStyle w:val="46"/>
          <w:rFonts w:hint="eastAsia" w:ascii="仿宋_GB2312" w:hAnsi="仿宋_GB2312" w:eastAsia="仿宋_GB2312" w:cs="仿宋_GB2312"/>
          <w:b/>
          <w:bCs/>
          <w:spacing w:val="0"/>
          <w:kern w:val="21"/>
          <w:sz w:val="32"/>
          <w:szCs w:val="32"/>
        </w:rPr>
        <w:t>优化城市更新机制</w:t>
      </w:r>
      <w:bookmarkEnd w:id="423"/>
      <w:bookmarkEnd w:id="424"/>
      <w:bookmarkEnd w:id="425"/>
      <w:bookmarkEnd w:id="426"/>
      <w:bookmarkEnd w:id="427"/>
      <w:r>
        <w:rPr>
          <w:rFonts w:hint="eastAsia" w:ascii="仿宋_GB2312" w:hAnsi="仿宋_GB2312" w:eastAsia="仿宋_GB2312" w:cs="仿宋_GB2312"/>
          <w:b/>
          <w:bCs/>
          <w:spacing w:val="0"/>
          <w:kern w:val="21"/>
          <w:sz w:val="32"/>
          <w:szCs w:val="32"/>
        </w:rPr>
        <w:t>。</w:t>
      </w:r>
      <w:r>
        <w:rPr>
          <w:rFonts w:hint="eastAsia" w:ascii="仿宋_GB2312" w:hAnsi="仿宋_GB2312" w:eastAsia="仿宋_GB2312" w:cs="仿宋_GB2312"/>
          <w:spacing w:val="0"/>
          <w:sz w:val="32"/>
          <w:szCs w:val="32"/>
          <w:lang w:val="en-US" w:eastAsia="zh-CN"/>
        </w:rPr>
        <w:t>落实苏州城市更新工作要求，</w:t>
      </w:r>
      <w:r>
        <w:rPr>
          <w:rFonts w:hint="eastAsia" w:ascii="仿宋_GB2312" w:eastAsia="仿宋_GB2312" w:cs="Times New Roman"/>
          <w:spacing w:val="0"/>
          <w:kern w:val="21"/>
          <w:sz w:val="32"/>
          <w:szCs w:val="32"/>
        </w:rPr>
        <w:t>推进人居环境和空间品质提升行动，开展综合体检和专项体检，建立健全“体检问题</w:t>
      </w:r>
      <w:r>
        <w:rPr>
          <w:rFonts w:hint="eastAsia" w:ascii="仿宋_GB2312" w:eastAsia="仿宋_GB2312" w:cs="Times New Roman"/>
          <w:spacing w:val="0"/>
          <w:kern w:val="21"/>
          <w:sz w:val="32"/>
          <w:szCs w:val="32"/>
          <w:lang w:eastAsia="zh-CN"/>
        </w:rPr>
        <w:t>－</w:t>
      </w:r>
      <w:r>
        <w:rPr>
          <w:rFonts w:hint="eastAsia" w:ascii="仿宋_GB2312" w:eastAsia="仿宋_GB2312" w:cs="Times New Roman"/>
          <w:spacing w:val="0"/>
          <w:kern w:val="21"/>
          <w:sz w:val="32"/>
          <w:szCs w:val="32"/>
        </w:rPr>
        <w:t>生成项目</w:t>
      </w:r>
      <w:r>
        <w:rPr>
          <w:rFonts w:hint="eastAsia" w:ascii="仿宋_GB2312" w:eastAsia="仿宋_GB2312" w:cs="Times New Roman"/>
          <w:spacing w:val="0"/>
          <w:kern w:val="21"/>
          <w:sz w:val="32"/>
          <w:szCs w:val="32"/>
          <w:lang w:eastAsia="zh-CN"/>
        </w:rPr>
        <w:t>－</w:t>
      </w:r>
      <w:r>
        <w:rPr>
          <w:rFonts w:hint="eastAsia" w:ascii="仿宋_GB2312" w:eastAsia="仿宋_GB2312" w:cs="Times New Roman"/>
          <w:spacing w:val="0"/>
          <w:kern w:val="21"/>
          <w:sz w:val="32"/>
          <w:szCs w:val="32"/>
        </w:rPr>
        <w:t>推动实施”工作机制。落实“留改拆”并举、以“留改”为主要求，</w:t>
      </w:r>
      <w:r>
        <w:rPr>
          <w:rFonts w:hint="eastAsia" w:ascii="仿宋_GB2312" w:hAnsi="仿宋_GB2312" w:eastAsia="仿宋_GB2312" w:cs="仿宋_GB2312"/>
          <w:spacing w:val="0"/>
          <w:kern w:val="21"/>
          <w:sz w:val="32"/>
          <w:szCs w:val="32"/>
        </w:rPr>
        <w:t>重点探索由单一征收向征收、统筹、划转、自主更新等多元模式转变，灵活运用疏解、腾挪、置换、回购等路径推进城市有机更新。创新城市更新资金平衡机制，用足用好政策红利，探索政府与市场成本共担、利益共享的综合成本收益平衡模式，发挥国企带动作用，积极引导社会资本参与。</w:t>
      </w:r>
    </w:p>
    <w:p w14:paraId="2EA6A7C3">
      <w:pPr>
        <w:keepNext w:val="0"/>
        <w:keepLines w:val="0"/>
        <w:pageBreakBefore w:val="0"/>
        <w:widowControl w:val="0"/>
        <w:kinsoku/>
        <w:wordWrap/>
        <w:overflowPunct w:val="0"/>
        <w:topLinePunct/>
        <w:autoSpaceDE/>
        <w:autoSpaceDN/>
        <w:bidi w:val="0"/>
        <w:adjustRightInd/>
        <w:spacing w:line="560" w:lineRule="exact"/>
        <w:ind w:firstLine="643" w:firstLineChars="200"/>
        <w:jc w:val="both"/>
        <w:textAlignment w:val="auto"/>
        <w:rPr>
          <w:rFonts w:hint="default" w:ascii="仿宋_GB2312" w:hAnsi="仿宋_GB2312" w:eastAsia="仿宋_GB2312" w:cs="仿宋_GB2312"/>
          <w:spacing w:val="0"/>
          <w:kern w:val="21"/>
          <w:sz w:val="32"/>
          <w:szCs w:val="32"/>
          <w:lang w:val="en-US" w:eastAsia="zh-CN"/>
        </w:rPr>
      </w:pPr>
      <w:bookmarkStart w:id="428" w:name="_Toc6054"/>
      <w:bookmarkStart w:id="429" w:name="_Toc354824777"/>
      <w:bookmarkStart w:id="430" w:name="_Toc29622"/>
      <w:bookmarkStart w:id="431" w:name="_Toc2214"/>
      <w:bookmarkStart w:id="432" w:name="_Toc683253011"/>
      <w:r>
        <w:rPr>
          <w:rStyle w:val="46"/>
          <w:rFonts w:hint="eastAsia" w:ascii="仿宋_GB2312" w:hAnsi="仿宋_GB2312" w:eastAsia="仿宋_GB2312" w:cs="仿宋_GB2312"/>
          <w:b/>
          <w:bCs/>
          <w:spacing w:val="0"/>
          <w:kern w:val="21"/>
          <w:sz w:val="32"/>
          <w:szCs w:val="32"/>
          <w:lang w:val="en-US" w:eastAsia="zh-CN"/>
        </w:rPr>
        <w:t>提升</w:t>
      </w:r>
      <w:r>
        <w:rPr>
          <w:rStyle w:val="46"/>
          <w:rFonts w:hint="eastAsia" w:ascii="仿宋_GB2312" w:hAnsi="仿宋_GB2312" w:eastAsia="仿宋_GB2312" w:cs="仿宋_GB2312"/>
          <w:b/>
          <w:bCs/>
          <w:spacing w:val="0"/>
          <w:kern w:val="21"/>
          <w:sz w:val="32"/>
          <w:szCs w:val="32"/>
          <w:highlight w:val="none"/>
        </w:rPr>
        <w:t>城市功能品质</w:t>
      </w:r>
      <w:r>
        <w:rPr>
          <w:rStyle w:val="46"/>
          <w:rFonts w:hint="eastAsia" w:ascii="仿宋_GB2312" w:hAnsi="仿宋_GB2312" w:eastAsia="仿宋_GB2312" w:cs="Times New Roman"/>
          <w:b/>
          <w:bCs/>
          <w:color w:val="auto"/>
          <w:spacing w:val="0"/>
          <w:kern w:val="21"/>
          <w:sz w:val="32"/>
          <w:szCs w:val="32"/>
        </w:rPr>
        <w:t>。</w:t>
      </w:r>
      <w:bookmarkEnd w:id="428"/>
      <w:bookmarkEnd w:id="429"/>
      <w:bookmarkEnd w:id="430"/>
      <w:bookmarkEnd w:id="431"/>
      <w:bookmarkEnd w:id="432"/>
      <w:r>
        <w:rPr>
          <w:rFonts w:hint="eastAsia" w:ascii="仿宋_GB2312" w:hAnsi="仿宋_GB2312" w:eastAsia="仿宋_GB2312" w:cs="仿宋_GB2312"/>
          <w:color w:val="auto"/>
          <w:sz w:val="32"/>
          <w:szCs w:val="32"/>
          <w:highlight w:val="none"/>
          <w:lang w:eastAsia="zh-CN"/>
        </w:rPr>
        <w:t>深入</w:t>
      </w:r>
      <w:r>
        <w:rPr>
          <w:rFonts w:hint="eastAsia" w:ascii="仿宋_GB2312" w:hAnsi="仿宋_GB2312" w:eastAsia="仿宋_GB2312" w:cs="仿宋_GB2312"/>
          <w:color w:val="auto"/>
          <w:sz w:val="32"/>
          <w:szCs w:val="32"/>
          <w:highlight w:val="none"/>
          <w:lang w:val="en-US" w:eastAsia="zh-CN"/>
        </w:rPr>
        <w:t>推进以人为本的新型城镇化，加强城市建设管理，提升产业支撑能力和公共服务水平。</w:t>
      </w:r>
      <w:r>
        <w:rPr>
          <w:rFonts w:hint="eastAsia" w:ascii="仿宋_GB2312" w:hAnsi="仿宋_GB2312" w:eastAsia="仿宋_GB2312" w:cs="仿宋_GB2312"/>
          <w:spacing w:val="0"/>
          <w:kern w:val="21"/>
          <w:sz w:val="32"/>
          <w:szCs w:val="32"/>
        </w:rPr>
        <w:t>聚焦民生需求，推进既有建筑改造利用、城镇老旧小区整治改造、完整社区建设、老旧街区、老旧厂区、城中村等更新改造、城市功能完善、城市基础设施建设改造、城市生态系统修复、城市历史文化保护传承等城市更新重点任务，着力提升公共服务设施质量和人居环境空间品质，推动城市发展由大规模增量建设向存量提质改造和增量结构调整并重转变。探索老旧住房自主更新、原拆原建，有效提升城镇房屋本质安全水平。</w:t>
      </w:r>
      <w:r>
        <w:rPr>
          <w:rFonts w:hint="eastAsia" w:ascii="仿宋_GB2312" w:hAnsi="仿宋_GB2312" w:eastAsia="仿宋_GB2312" w:cs="仿宋_GB2312"/>
          <w:spacing w:val="0"/>
          <w:kern w:val="21"/>
          <w:sz w:val="32"/>
          <w:szCs w:val="32"/>
          <w:lang w:eastAsia="zh-CN"/>
        </w:rPr>
        <w:t>建设安全韧性现代化水网，实现优质供水与高效污水处理协同。到</w:t>
      </w:r>
      <w:r>
        <w:rPr>
          <w:rFonts w:hint="eastAsia" w:ascii="仿宋_GB2312" w:hAnsi="仿宋_GB2312" w:eastAsia="仿宋_GB2312" w:cs="仿宋_GB2312"/>
          <w:spacing w:val="0"/>
          <w:kern w:val="21"/>
          <w:sz w:val="32"/>
          <w:szCs w:val="32"/>
          <w:lang w:val="en-US" w:eastAsia="zh-CN"/>
        </w:rPr>
        <w:t>2030年，城镇生活污水处理率达98.5%。</w:t>
      </w:r>
    </w:p>
    <w:p w14:paraId="48B04DC1">
      <w:pPr>
        <w:keepNext w:val="0"/>
        <w:keepLines w:val="0"/>
        <w:pageBreakBefore w:val="0"/>
        <w:widowControl w:val="0"/>
        <w:kinsoku/>
        <w:wordWrap/>
        <w:overflowPunct w:val="0"/>
        <w:topLinePunct/>
        <w:autoSpaceDE/>
        <w:autoSpaceDN/>
        <w:bidi w:val="0"/>
        <w:adjustRightInd/>
        <w:spacing w:line="560" w:lineRule="exact"/>
        <w:ind w:firstLine="643" w:firstLineChars="200"/>
        <w:jc w:val="both"/>
        <w:textAlignment w:val="auto"/>
        <w:rPr>
          <w:rFonts w:hint="eastAsia" w:ascii="仿宋_GB2312" w:hAnsi="仿宋_GB2312" w:eastAsia="仿宋_GB2312" w:cs="仿宋_GB2312"/>
          <w:spacing w:val="0"/>
          <w:kern w:val="21"/>
          <w:sz w:val="32"/>
          <w:szCs w:val="32"/>
        </w:rPr>
      </w:pPr>
      <w:bookmarkStart w:id="433" w:name="_Toc5113"/>
      <w:bookmarkStart w:id="434" w:name="_Toc11763"/>
      <w:bookmarkStart w:id="435" w:name="_Toc3353"/>
      <w:r>
        <w:rPr>
          <w:rStyle w:val="46"/>
          <w:rFonts w:hint="eastAsia" w:ascii="仿宋_GB2312" w:hAnsi="仿宋_GB2312" w:eastAsia="仿宋_GB2312" w:cs="仿宋_GB2312"/>
          <w:b/>
          <w:bCs/>
          <w:spacing w:val="0"/>
          <w:kern w:val="21"/>
          <w:sz w:val="32"/>
          <w:szCs w:val="32"/>
        </w:rPr>
        <w:t>加强城市风貌管理</w:t>
      </w:r>
      <w:bookmarkEnd w:id="433"/>
      <w:bookmarkEnd w:id="434"/>
      <w:bookmarkEnd w:id="435"/>
      <w:r>
        <w:rPr>
          <w:rFonts w:hint="eastAsia" w:ascii="仿宋_GB2312" w:hAnsi="仿宋_GB2312" w:eastAsia="仿宋_GB2312" w:cs="仿宋_GB2312"/>
          <w:b/>
          <w:bCs/>
          <w:spacing w:val="0"/>
          <w:kern w:val="21"/>
          <w:sz w:val="32"/>
          <w:szCs w:val="32"/>
        </w:rPr>
        <w:t>。</w:t>
      </w:r>
      <w:r>
        <w:rPr>
          <w:rFonts w:hint="eastAsia" w:ascii="仿宋_GB2312" w:hAnsi="仿宋_GB2312" w:eastAsia="仿宋_GB2312" w:cs="仿宋_GB2312"/>
          <w:spacing w:val="0"/>
          <w:kern w:val="21"/>
          <w:sz w:val="32"/>
          <w:szCs w:val="32"/>
        </w:rPr>
        <w:t>建立以居民为主体的历史文化保护实施机制，促进风貌保护、功能开发和民生改善结合，用好微更新、渐进式更新、包容式更新等手段，推动历史文化名镇保护和街区品质提升。挖掘整合老旧建筑中蕴藏的运河文化、丝绸记忆和宅第人文元素，植入设施复建、功能衍生和街区联动等更新项目中，综合提升历史文化风貌区品牌影响力。妥善利用古镇、古街、古巷等空间载体，探索文旅融合发展新模式，打造垂虹历史人文街区、</w:t>
      </w:r>
      <w:r>
        <w:rPr>
          <w:rFonts w:hint="eastAsia" w:ascii="仿宋_GB2312" w:eastAsia="仿宋_GB2312"/>
          <w:spacing w:val="0"/>
          <w:kern w:val="21"/>
          <w:sz w:val="32"/>
          <w:szCs w:val="32"/>
        </w:rPr>
        <w:t>盛家厍老街、</w:t>
      </w:r>
      <w:r>
        <w:rPr>
          <w:rFonts w:hint="eastAsia" w:ascii="仿宋_GB2312" w:hAnsi="仿宋_GB2312" w:eastAsia="仿宋_GB2312" w:cs="仿宋_GB2312"/>
          <w:spacing w:val="0"/>
          <w:kern w:val="21"/>
          <w:sz w:val="32"/>
          <w:szCs w:val="32"/>
        </w:rPr>
        <w:t>盛泽蚕花里、震泽砥定街、平望北大街历史街区、芦墟老街等重点项目，营造烟火气更旺、文化味更浓、情绪价值共鸣的江南特色城镇空间。</w:t>
      </w:r>
    </w:p>
    <w:p w14:paraId="03645263">
      <w:pPr>
        <w:pStyle w:val="3"/>
        <w:keepNext w:val="0"/>
        <w:keepLines w:val="0"/>
        <w:pageBreakBefore w:val="0"/>
        <w:widowControl w:val="0"/>
        <w:kinsoku/>
        <w:wordWrap/>
        <w:overflowPunct w:val="0"/>
        <w:topLinePunct/>
        <w:autoSpaceDE/>
        <w:autoSpaceDN/>
        <w:bidi w:val="0"/>
        <w:adjustRightInd/>
        <w:spacing w:before="156" w:after="156" w:line="560" w:lineRule="exact"/>
        <w:jc w:val="center"/>
        <w:textAlignment w:val="auto"/>
        <w:rPr>
          <w:rFonts w:ascii="楷体_GB2312" w:hAnsi="楷体_GB2312" w:eastAsia="楷体_GB2312" w:cs="楷体_GB2312"/>
          <w:spacing w:val="0"/>
          <w:kern w:val="21"/>
        </w:rPr>
      </w:pPr>
      <w:bookmarkStart w:id="436" w:name="_Toc17868"/>
      <w:bookmarkStart w:id="437" w:name="_Toc84566981"/>
      <w:bookmarkStart w:id="438" w:name="_Toc4797"/>
      <w:bookmarkStart w:id="439" w:name="_Toc24865"/>
      <w:bookmarkStart w:id="440" w:name="_Toc1127323266"/>
      <w:r>
        <w:rPr>
          <w:rFonts w:ascii="楷体_GB2312" w:hAnsi="楷体_GB2312" w:eastAsia="楷体_GB2312" w:cs="楷体_GB2312"/>
          <w:spacing w:val="0"/>
          <w:kern w:val="21"/>
        </w:rPr>
        <w:t>第</w:t>
      </w:r>
      <w:r>
        <w:rPr>
          <w:rFonts w:hint="eastAsia" w:ascii="楷体_GB2312" w:hAnsi="楷体_GB2312" w:eastAsia="楷体_GB2312" w:cs="楷体_GB2312"/>
          <w:spacing w:val="0"/>
          <w:kern w:val="21"/>
          <w:lang w:eastAsia="zh-CN"/>
        </w:rPr>
        <w:t>二</w:t>
      </w:r>
      <w:r>
        <w:rPr>
          <w:rFonts w:ascii="楷体_GB2312" w:hAnsi="楷体_GB2312" w:eastAsia="楷体_GB2312" w:cs="楷体_GB2312"/>
          <w:spacing w:val="0"/>
          <w:kern w:val="21"/>
        </w:rPr>
        <w:t>节</w:t>
      </w:r>
      <w:r>
        <w:rPr>
          <w:rFonts w:hint="eastAsia" w:ascii="楷体_GB2312" w:hAnsi="楷体_GB2312" w:eastAsia="楷体_GB2312" w:cs="楷体_GB2312"/>
          <w:spacing w:val="0"/>
          <w:kern w:val="21"/>
          <w:lang w:val="en-US" w:eastAsia="zh-CN"/>
        </w:rPr>
        <w:t xml:space="preserve"> </w:t>
      </w:r>
      <w:r>
        <w:rPr>
          <w:rFonts w:ascii="楷体_GB2312" w:hAnsi="楷体_GB2312" w:eastAsia="楷体_GB2312" w:cs="楷体_GB2312"/>
          <w:spacing w:val="0"/>
          <w:kern w:val="21"/>
        </w:rPr>
        <w:t xml:space="preserve"> 全力推动乡村振兴</w:t>
      </w:r>
      <w:bookmarkEnd w:id="406"/>
      <w:bookmarkEnd w:id="407"/>
      <w:bookmarkEnd w:id="408"/>
      <w:bookmarkEnd w:id="409"/>
      <w:bookmarkEnd w:id="410"/>
      <w:bookmarkEnd w:id="436"/>
      <w:bookmarkEnd w:id="437"/>
      <w:bookmarkEnd w:id="438"/>
      <w:bookmarkEnd w:id="439"/>
      <w:bookmarkEnd w:id="440"/>
    </w:p>
    <w:p w14:paraId="62A5DB9D">
      <w:pPr>
        <w:keepNext w:val="0"/>
        <w:keepLines w:val="0"/>
        <w:pageBreakBefore w:val="0"/>
        <w:widowControl w:val="0"/>
        <w:kinsoku/>
        <w:wordWrap/>
        <w:overflowPunct w:val="0"/>
        <w:topLinePunct/>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napToGrid w:val="0"/>
          <w:spacing w:val="0"/>
          <w:kern w:val="21"/>
          <w:sz w:val="32"/>
          <w:szCs w:val="32"/>
        </w:rPr>
      </w:pPr>
      <w:r>
        <w:rPr>
          <w:rFonts w:hint="eastAsia" w:ascii="仿宋_GB2312" w:hAnsi="仿宋_GB2312" w:eastAsia="仿宋_GB2312" w:cs="仿宋_GB2312"/>
          <w:snapToGrid w:val="0"/>
          <w:spacing w:val="0"/>
          <w:kern w:val="21"/>
          <w:sz w:val="32"/>
          <w:szCs w:val="32"/>
        </w:rPr>
        <w:t>开展“富美江村”行动，统筹推进新型城镇化和乡村全面振兴，扎实推进农业农村现代化，促进城乡融合发展，提升“江村”品牌影响力，</w:t>
      </w:r>
      <w:r>
        <w:rPr>
          <w:rFonts w:hint="eastAsia" w:ascii="仿宋_GB2312" w:hAnsi="仿宋_GB2312" w:eastAsia="仿宋_GB2312" w:cs="仿宋_GB2312"/>
          <w:snapToGrid w:val="0"/>
          <w:kern w:val="21"/>
          <w:sz w:val="32"/>
          <w:szCs w:val="32"/>
        </w:rPr>
        <w:t>全力打造农业高质高效、乡村宜居宜业、农民富裕富足的新时代鱼米之乡</w:t>
      </w:r>
      <w:r>
        <w:rPr>
          <w:rFonts w:hint="eastAsia" w:ascii="仿宋_GB2312" w:hAnsi="仿宋_GB2312" w:eastAsia="仿宋_GB2312" w:cs="仿宋_GB2312"/>
          <w:snapToGrid w:val="0"/>
          <w:spacing w:val="0"/>
          <w:kern w:val="21"/>
          <w:sz w:val="32"/>
          <w:szCs w:val="32"/>
        </w:rPr>
        <w:t>。</w:t>
      </w:r>
    </w:p>
    <w:p w14:paraId="7E2D63EE">
      <w:pPr>
        <w:keepNext w:val="0"/>
        <w:keepLines w:val="0"/>
        <w:pageBreakBefore w:val="0"/>
        <w:widowControl w:val="0"/>
        <w:kinsoku/>
        <w:wordWrap/>
        <w:overflowPunct w:val="0"/>
        <w:topLinePunct/>
        <w:autoSpaceDE/>
        <w:autoSpaceDN/>
        <w:bidi w:val="0"/>
        <w:adjustRightInd/>
        <w:snapToGrid/>
        <w:spacing w:line="560" w:lineRule="exact"/>
        <w:ind w:firstLine="643" w:firstLineChars="200"/>
        <w:jc w:val="both"/>
        <w:textAlignment w:val="auto"/>
        <w:rPr>
          <w:rFonts w:hint="default" w:ascii="仿宋_GB2312" w:hAnsi="仿宋_GB2312" w:eastAsia="仿宋_GB2312" w:cs="仿宋_GB2312"/>
          <w:snapToGrid w:val="0"/>
          <w:spacing w:val="0"/>
          <w:kern w:val="21"/>
          <w:sz w:val="32"/>
          <w:szCs w:val="32"/>
          <w:lang w:val="en-US" w:eastAsia="zh-CN"/>
        </w:rPr>
      </w:pPr>
      <w:bookmarkStart w:id="441" w:name="_Toc488504994"/>
      <w:bookmarkStart w:id="442" w:name="_Toc6238"/>
      <w:bookmarkStart w:id="443" w:name="_Toc29317"/>
      <w:bookmarkStart w:id="444" w:name="_Toc421307990"/>
      <w:bookmarkStart w:id="445" w:name="_Toc12119"/>
      <w:r>
        <w:rPr>
          <w:rStyle w:val="46"/>
          <w:rFonts w:hint="eastAsia" w:ascii="仿宋_GB2312" w:hAnsi="仿宋_GB2312" w:eastAsia="仿宋_GB2312" w:cs="Times New Roman"/>
          <w:b/>
          <w:bCs/>
          <w:snapToGrid w:val="0"/>
          <w:spacing w:val="0"/>
          <w:kern w:val="21"/>
          <w:sz w:val="32"/>
          <w:szCs w:val="32"/>
          <w:lang w:eastAsia="zh-CN"/>
        </w:rPr>
        <w:t>加快</w:t>
      </w:r>
      <w:r>
        <w:rPr>
          <w:rStyle w:val="46"/>
          <w:rFonts w:hint="eastAsia" w:ascii="仿宋_GB2312" w:hAnsi="仿宋_GB2312" w:eastAsia="仿宋_GB2312" w:cs="Times New Roman"/>
          <w:b/>
          <w:bCs/>
          <w:snapToGrid w:val="0"/>
          <w:spacing w:val="0"/>
          <w:kern w:val="21"/>
          <w:sz w:val="32"/>
          <w:szCs w:val="32"/>
        </w:rPr>
        <w:t>农业现代化</w:t>
      </w:r>
      <w:bookmarkEnd w:id="441"/>
      <w:bookmarkEnd w:id="442"/>
      <w:bookmarkEnd w:id="443"/>
      <w:bookmarkEnd w:id="444"/>
      <w:bookmarkEnd w:id="445"/>
      <w:r>
        <w:rPr>
          <w:rFonts w:hint="eastAsia" w:ascii="仿宋_GB2312" w:hAnsi="仿宋_GB2312" w:eastAsia="仿宋_GB2312" w:cs="仿宋_GB2312"/>
          <w:b/>
          <w:bCs/>
          <w:snapToGrid w:val="0"/>
          <w:spacing w:val="0"/>
          <w:kern w:val="21"/>
          <w:sz w:val="32"/>
          <w:szCs w:val="32"/>
        </w:rPr>
        <w:t>。</w:t>
      </w:r>
      <w:r>
        <w:rPr>
          <w:rFonts w:hint="eastAsia" w:ascii="仿宋_GB2312" w:hAnsi="仿宋_GB2312" w:eastAsia="仿宋_GB2312" w:cs="仿宋_GB2312"/>
          <w:snapToGrid w:val="0"/>
          <w:spacing w:val="0"/>
          <w:kern w:val="21"/>
          <w:sz w:val="32"/>
          <w:szCs w:val="32"/>
        </w:rPr>
        <w:t>构建“1+3+3+N”农业主导产业发展格局，推动“生产+加工+科技+品牌”融合发展。培育壮大农业新经济，着力招引“国字号”“民字号”知名农业龙头企业、创新型总部企业以及优质经营主体。加强地产农产品品种培优、品质提升和标准化生产，持续扩大绿色、有机、地理标志和名特优新农产品等认证总量。践行“大食物观”，抓好粮食安全工作，加强粮食和重要农产品稳产保供。加快推进科技强农，探索农业新品种、新技术、新装备应用，探索成立种业研究中心，加快智能农机研发推广和“无人农场”建设，争创国家级酸化耕地治理重点县，全面建设</w:t>
      </w:r>
      <w:r>
        <w:rPr>
          <w:rFonts w:hint="eastAsia" w:ascii="仿宋_GB2312" w:hAnsi="仿宋_GB2312" w:eastAsia="仿宋_GB2312" w:cs="仿宋_GB2312"/>
          <w:snapToGrid w:val="0"/>
          <w:spacing w:val="0"/>
          <w:kern w:val="21"/>
          <w:sz w:val="32"/>
          <w:szCs w:val="32"/>
          <w:lang w:val="en-US" w:eastAsia="zh-CN"/>
        </w:rPr>
        <w:t>国家乡村振兴示范县、</w:t>
      </w:r>
      <w:r>
        <w:rPr>
          <w:rFonts w:hint="eastAsia" w:ascii="仿宋_GB2312" w:hAnsi="仿宋_GB2312" w:eastAsia="仿宋_GB2312" w:cs="仿宋_GB2312"/>
          <w:snapToGrid w:val="0"/>
          <w:spacing w:val="0"/>
          <w:kern w:val="21"/>
          <w:sz w:val="32"/>
          <w:szCs w:val="32"/>
        </w:rPr>
        <w:t>国家农业绿色发展先行区。放大15个农业园区产业集聚优势，发挥国农科创区域服务产业平台苏州中心作用，加快培育一批农业龙头企业。大力发展智慧农业，建设一批智能温室、绿色温室，推动设施农业提档升级。</w:t>
      </w:r>
      <w:r>
        <w:rPr>
          <w:rFonts w:hint="eastAsia" w:ascii="仿宋_GB2312" w:hAnsi="仿宋_GB2312" w:eastAsia="仿宋_GB2312" w:cs="仿宋_GB2312"/>
          <w:snapToGrid w:val="0"/>
          <w:spacing w:val="0"/>
          <w:kern w:val="21"/>
          <w:sz w:val="32"/>
          <w:szCs w:val="32"/>
          <w:lang w:eastAsia="zh-CN"/>
        </w:rPr>
        <w:t>到</w:t>
      </w:r>
      <w:r>
        <w:rPr>
          <w:rFonts w:hint="eastAsia" w:ascii="仿宋_GB2312" w:hAnsi="仿宋_GB2312" w:eastAsia="仿宋_GB2312" w:cs="仿宋_GB2312"/>
          <w:snapToGrid w:val="0"/>
          <w:spacing w:val="0"/>
          <w:kern w:val="21"/>
          <w:sz w:val="32"/>
          <w:szCs w:val="32"/>
          <w:lang w:val="en-US" w:eastAsia="zh-CN"/>
        </w:rPr>
        <w:t>2030年，农作物耕种收综合机械化率稳定在95%以上，粮食播种面积稳定在35.1万亩以上，粮食产量稳定在3.46亿斤以上。</w:t>
      </w:r>
    </w:p>
    <w:p w14:paraId="60522EA4">
      <w:pPr>
        <w:keepNext w:val="0"/>
        <w:keepLines w:val="0"/>
        <w:pageBreakBefore w:val="0"/>
        <w:widowControl w:val="0"/>
        <w:kinsoku/>
        <w:wordWrap/>
        <w:overflowPunct w:val="0"/>
        <w:topLinePunct/>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color w:val="auto"/>
          <w:spacing w:val="0"/>
          <w:sz w:val="32"/>
          <w:szCs w:val="32"/>
          <w:lang w:val="en-US" w:eastAsia="zh-CN"/>
        </w:rPr>
      </w:pPr>
      <w:bookmarkStart w:id="446" w:name="_Toc17411"/>
      <w:bookmarkStart w:id="447" w:name="_Toc1165126650"/>
      <w:bookmarkStart w:id="448" w:name="_Toc9504"/>
      <w:bookmarkStart w:id="449" w:name="_Toc1178098505"/>
      <w:bookmarkStart w:id="450" w:name="_Toc4918"/>
      <w:r>
        <w:rPr>
          <w:rStyle w:val="46"/>
          <w:rFonts w:hint="eastAsia" w:ascii="仿宋_GB2312" w:hAnsi="仿宋_GB2312" w:eastAsia="仿宋_GB2312" w:cs="Times New Roman"/>
          <w:b/>
          <w:bCs/>
          <w:snapToGrid w:val="0"/>
          <w:spacing w:val="0"/>
          <w:kern w:val="21"/>
          <w:sz w:val="32"/>
          <w:szCs w:val="32"/>
          <w:lang w:eastAsia="zh-CN"/>
        </w:rPr>
        <w:t>加快农村现代化</w:t>
      </w:r>
      <w:r>
        <w:rPr>
          <w:rStyle w:val="46"/>
          <w:rFonts w:hint="eastAsia" w:ascii="仿宋_GB2312" w:hAnsi="仿宋_GB2312" w:eastAsia="仿宋_GB2312" w:cs="Times New Roman"/>
          <w:b/>
          <w:bCs/>
          <w:snapToGrid w:val="0"/>
          <w:spacing w:val="0"/>
          <w:kern w:val="21"/>
          <w:sz w:val="32"/>
          <w:szCs w:val="32"/>
        </w:rPr>
        <w:t>。</w:t>
      </w:r>
      <w:bookmarkEnd w:id="446"/>
      <w:bookmarkEnd w:id="447"/>
      <w:bookmarkEnd w:id="448"/>
      <w:bookmarkEnd w:id="449"/>
      <w:bookmarkEnd w:id="450"/>
      <w:r>
        <w:rPr>
          <w:rFonts w:hint="eastAsia" w:ascii="仿宋_GB2312" w:hAnsi="仿宋_GB2312" w:eastAsia="仿宋_GB2312" w:cs="仿宋_GB2312"/>
          <w:snapToGrid w:val="0"/>
          <w:spacing w:val="0"/>
          <w:kern w:val="21"/>
          <w:sz w:val="32"/>
          <w:szCs w:val="32"/>
        </w:rPr>
        <w:t>高标准推进环长漾、环鼋荡、环澄湖、沿太湖等乡村振兴重点片区建设，辐射带动周边协同发展。鼓励农房更新改造，探索闲置农房盘活利用机制。推广“一村三师”驻村服务，加强建筑风貌管控，提升农房居住品质。发展特色乡村旅游，探索宠物经济与休闲农旅的融合发展新模式，延长乡村旅游产业链</w:t>
      </w:r>
      <w:r>
        <w:rPr>
          <w:rFonts w:hint="eastAsia" w:ascii="仿宋_GB2312" w:hAnsi="仿宋_GB2312" w:eastAsia="仿宋_GB2312" w:cs="仿宋_GB2312"/>
          <w:snapToGrid w:val="0"/>
          <w:spacing w:val="0"/>
          <w:kern w:val="21"/>
          <w:sz w:val="32"/>
          <w:szCs w:val="32"/>
          <w:lang w:eastAsia="zh-CN"/>
        </w:rPr>
        <w:t>。</w:t>
      </w:r>
      <w:r>
        <w:rPr>
          <w:rFonts w:hint="eastAsia" w:ascii="仿宋_GB2312" w:hAnsi="仿宋_GB2312" w:eastAsia="仿宋_GB2312" w:cs="仿宋_GB2312"/>
          <w:snapToGrid w:val="0"/>
          <w:spacing w:val="0"/>
          <w:kern w:val="21"/>
          <w:sz w:val="32"/>
          <w:szCs w:val="32"/>
        </w:rPr>
        <w:t>持续丰富优质农产品、优质基础设施、优质景观点位、优质线路串联、优质“村”字号活动等“五优”业态。结合农时节庆，整合江南水乡民俗、非遗技艺和特色农产品等资源。发挥乡村民宿联盟作用，加快服务标准制定，提升整体服务质量。谋划建设太湖溇港圩田展示区，试点打造帆船、皮划艇、桨板等水上运动场景。</w:t>
      </w:r>
      <w:r>
        <w:rPr>
          <w:rFonts w:hint="eastAsia" w:ascii="仿宋_GB2312" w:hAnsi="仿宋_GB2312" w:eastAsia="仿宋_GB2312" w:cs="仿宋_GB2312"/>
          <w:color w:val="auto"/>
          <w:spacing w:val="0"/>
          <w:sz w:val="32"/>
          <w:szCs w:val="32"/>
          <w:lang w:val="en-US" w:eastAsia="zh-CN"/>
        </w:rPr>
        <w:t>统筹完善农村基础设施网络，不断提升农村公共服务便利度。</w:t>
      </w:r>
      <w:r>
        <w:rPr>
          <w:rFonts w:hint="eastAsia" w:ascii="仿宋_GB2312" w:hAnsi="仿宋_GB2312" w:eastAsia="仿宋_GB2312" w:cs="仿宋_GB2312"/>
          <w:snapToGrid w:val="0"/>
          <w:spacing w:val="0"/>
          <w:kern w:val="21"/>
          <w:sz w:val="32"/>
          <w:szCs w:val="32"/>
        </w:rPr>
        <w:t>探索建立群众参与机制，完善道路、绿化、河道与公共设施维护等长效管护机制，推动农村人居环境整治提升常态长效。</w:t>
      </w:r>
      <w:r>
        <w:rPr>
          <w:rFonts w:hint="eastAsia" w:ascii="仿宋_GB2312" w:hAnsi="仿宋_GB2312" w:eastAsia="仿宋_GB2312" w:cs="仿宋_GB2312"/>
          <w:color w:val="auto"/>
          <w:spacing w:val="0"/>
          <w:sz w:val="32"/>
          <w:szCs w:val="32"/>
          <w:lang w:val="en-US" w:eastAsia="zh-CN"/>
        </w:rPr>
        <w:t>到2030年，培育3个省特色田园建设示范村庄，新增25个宜居宜业和美乡村。</w:t>
      </w:r>
    </w:p>
    <w:p w14:paraId="03B57C4D">
      <w:pPr>
        <w:keepNext w:val="0"/>
        <w:keepLines w:val="0"/>
        <w:pageBreakBefore w:val="0"/>
        <w:widowControl w:val="0"/>
        <w:kinsoku/>
        <w:wordWrap/>
        <w:overflowPunct w:val="0"/>
        <w:topLinePunct/>
        <w:autoSpaceDE/>
        <w:autoSpaceDN/>
        <w:bidi w:val="0"/>
        <w:adjustRightInd/>
        <w:snapToGrid/>
        <w:spacing w:line="560" w:lineRule="exact"/>
        <w:ind w:firstLine="643" w:firstLineChars="200"/>
        <w:jc w:val="both"/>
        <w:textAlignment w:val="auto"/>
        <w:rPr>
          <w:rFonts w:hint="default" w:ascii="仿宋_GB2312" w:hAnsi="仿宋_GB2312" w:eastAsia="仿宋_GB2312" w:cs="仿宋_GB2312"/>
          <w:color w:val="auto"/>
          <w:spacing w:val="0"/>
          <w:sz w:val="32"/>
          <w:szCs w:val="32"/>
          <w:lang w:val="en-US" w:eastAsia="zh-CN"/>
        </w:rPr>
      </w:pPr>
      <w:bookmarkStart w:id="451" w:name="_Toc7034"/>
      <w:bookmarkStart w:id="452" w:name="_Toc2801"/>
      <w:r>
        <w:rPr>
          <w:rStyle w:val="46"/>
          <w:rFonts w:hint="eastAsia" w:ascii="仿宋_GB2312" w:hAnsi="仿宋_GB2312" w:eastAsia="仿宋_GB2312" w:cs="Times New Roman"/>
          <w:b/>
          <w:bCs/>
          <w:spacing w:val="0"/>
          <w:kern w:val="21"/>
          <w:sz w:val="32"/>
          <w:szCs w:val="32"/>
          <w:lang w:eastAsia="zh-CN"/>
        </w:rPr>
        <w:t>加快农民现代化</w:t>
      </w:r>
      <w:r>
        <w:rPr>
          <w:rStyle w:val="46"/>
          <w:rFonts w:hint="eastAsia" w:ascii="仿宋_GB2312" w:hAnsi="仿宋_GB2312" w:eastAsia="仿宋_GB2312" w:cs="Times New Roman"/>
          <w:b/>
          <w:bCs/>
          <w:spacing w:val="0"/>
          <w:kern w:val="21"/>
          <w:sz w:val="32"/>
          <w:szCs w:val="32"/>
        </w:rPr>
        <w:t>。</w:t>
      </w:r>
      <w:bookmarkEnd w:id="451"/>
      <w:bookmarkEnd w:id="452"/>
      <w:r>
        <w:rPr>
          <w:rFonts w:hint="eastAsia" w:ascii="仿宋_GB2312" w:hAnsi="仿宋_GB2312" w:eastAsia="仿宋_GB2312" w:cs="仿宋_GB2312"/>
          <w:spacing w:val="0"/>
          <w:kern w:val="21"/>
          <w:sz w:val="32"/>
          <w:szCs w:val="32"/>
        </w:rPr>
        <w:t>持续推动“惠村项目”建设，发展资源发包、物业出租、居间服务、产业经营、股份合作等农村集体经济发展新模式，扩充村集体经营性资产体量。有序推进农村集体无证资产补充办证工作，分类盘活利用闲置资产，提升村集体资产价值。稳步运作乡村振兴母基金，促进村集体资金保值增值。大力发展带动能力强、就业容量大的富民产业，围绕丝绸、太湖大闸蟹、吴江大米等打造一批小而美、土字号的“金名片”。引导农业龙头企业、</w:t>
      </w:r>
      <w:r>
        <w:rPr>
          <w:rFonts w:hint="eastAsia" w:ascii="仿宋_GB2312" w:hAnsi="仿宋_GB2312" w:eastAsia="仿宋_GB2312" w:cs="仿宋_GB2312"/>
          <w:spacing w:val="0"/>
          <w:kern w:val="21"/>
          <w:sz w:val="32"/>
          <w:szCs w:val="32"/>
          <w:lang w:eastAsia="zh-CN"/>
        </w:rPr>
        <w:t>农民</w:t>
      </w:r>
      <w:r>
        <w:rPr>
          <w:rFonts w:hint="eastAsia" w:ascii="仿宋_GB2312" w:hAnsi="仿宋_GB2312" w:eastAsia="仿宋_GB2312" w:cs="仿宋_GB2312"/>
          <w:spacing w:val="0"/>
          <w:kern w:val="21"/>
          <w:sz w:val="32"/>
          <w:szCs w:val="32"/>
        </w:rPr>
        <w:t>合作社、家庭农场等组建产业化联合体，重点培育农业科技、农村创业、乡村治理、农村实用、农技推广“五类”人才，打造现代“新农人”队伍，带动农民增收致富。</w:t>
      </w:r>
    </w:p>
    <w:p w14:paraId="46952719">
      <w:pPr>
        <w:keepNext w:val="0"/>
        <w:keepLines w:val="0"/>
        <w:pageBreakBefore w:val="0"/>
        <w:widowControl w:val="0"/>
        <w:kinsoku/>
        <w:wordWrap/>
        <w:overflowPunct w:val="0"/>
        <w:topLinePunct/>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snapToGrid w:val="0"/>
          <w:kern w:val="21"/>
          <w:sz w:val="32"/>
          <w:szCs w:val="32"/>
        </w:rPr>
      </w:pPr>
      <w:bookmarkStart w:id="453" w:name="_Toc1664"/>
      <w:bookmarkStart w:id="454" w:name="_Toc2105219392"/>
      <w:bookmarkStart w:id="455" w:name="_Toc29755"/>
      <w:bookmarkStart w:id="456" w:name="_Toc27433"/>
      <w:bookmarkStart w:id="457" w:name="_Toc1682649941"/>
      <w:r>
        <w:rPr>
          <w:rStyle w:val="46"/>
          <w:rFonts w:hint="eastAsia" w:ascii="仿宋_GB2312" w:hAnsi="仿宋_GB2312" w:eastAsia="仿宋_GB2312" w:cs="Times New Roman"/>
          <w:b/>
          <w:bCs/>
          <w:snapToGrid w:val="0"/>
          <w:spacing w:val="0"/>
          <w:kern w:val="21"/>
          <w:sz w:val="32"/>
          <w:szCs w:val="32"/>
        </w:rPr>
        <w:t>促进城乡融合发展。</w:t>
      </w:r>
      <w:bookmarkEnd w:id="453"/>
      <w:bookmarkEnd w:id="454"/>
      <w:bookmarkEnd w:id="455"/>
      <w:bookmarkEnd w:id="456"/>
      <w:bookmarkEnd w:id="457"/>
      <w:r>
        <w:rPr>
          <w:rStyle w:val="39"/>
          <w:rFonts w:hint="eastAsia" w:hAnsi="仿宋_GB2312" w:cs="仿宋_GB2312"/>
          <w:bCs/>
          <w:spacing w:val="0"/>
          <w:kern w:val="21"/>
          <w:sz w:val="32"/>
          <w:szCs w:val="32"/>
        </w:rPr>
        <w:t>健全城乡融合发展的体制机制，推动城乡要素配置合理化、城乡产业发展融合化、城乡公共服务均等化、城乡居民收入均衡化。深化承包地“三权”分置改革，稳步扩大第二轮土地承包到期后再延长30年试点工作，巩固完善农村基本经营制度。扎实推进农村集体经营性建设用地入市试点，扩充入市</w:t>
      </w:r>
      <w:r>
        <w:rPr>
          <w:rFonts w:hint="eastAsia" w:ascii="仿宋_GB2312" w:eastAsia="仿宋_GB2312"/>
          <w:spacing w:val="0"/>
          <w:kern w:val="21"/>
          <w:sz w:val="32"/>
          <w:szCs w:val="32"/>
        </w:rPr>
        <w:t>土地</w:t>
      </w:r>
      <w:r>
        <w:rPr>
          <w:rStyle w:val="39"/>
          <w:rFonts w:hint="eastAsia" w:hAnsi="仿宋_GB2312" w:cs="仿宋_GB2312"/>
          <w:bCs/>
          <w:spacing w:val="0"/>
          <w:kern w:val="21"/>
          <w:sz w:val="32"/>
          <w:szCs w:val="32"/>
        </w:rPr>
        <w:t>储备规模，吸引多元主体参与。开展农村产权流转交易规范化建设，拓展农村产权交易平台功能。加快推进农业生产体系和农村发展集成改革，支持试点镇率先突破。健全城乡人才双向流动机制，保障进城落户农民权益。强化城乡基础设施与基本公共服务一体化供给，补齐农村短板，促进教育、医疗、养老等优质资源向乡村延伸。</w:t>
      </w:r>
      <w:r>
        <w:rPr>
          <w:rFonts w:hint="eastAsia" w:ascii="仿宋_GB2312" w:hAnsi="仿宋_GB2312" w:eastAsia="仿宋_GB2312" w:cs="仿宋_GB2312"/>
          <w:snapToGrid w:val="0"/>
          <w:spacing w:val="0"/>
          <w:kern w:val="21"/>
          <w:sz w:val="32"/>
          <w:szCs w:val="32"/>
        </w:rPr>
        <w:t>推动现代服务业、现代制造业与现代农业深度融合，让农民更多分享产业增值收益，形成城乡优势互补、互利共赢的发展格局。</w:t>
      </w:r>
    </w:p>
    <w:p w14:paraId="4CD75904">
      <w:pPr>
        <w:overflowPunct w:val="0"/>
        <w:topLinePunct/>
        <w:spacing w:line="560" w:lineRule="exact"/>
        <w:ind w:firstLine="643" w:firstLineChars="200"/>
        <w:jc w:val="left"/>
        <w:rPr>
          <w:rFonts w:ascii="Times New Roman" w:hAnsi="Times New Roman" w:eastAsia="黑体" w:cs="Times New Roman"/>
          <w:b/>
          <w:bCs/>
          <w:kern w:val="21"/>
          <w:sz w:val="32"/>
          <w:szCs w:val="32"/>
        </w:rPr>
      </w:pPr>
      <w:r>
        <w:rPr>
          <w:rFonts w:ascii="Times New Roman" w:hAnsi="Times New Roman" w:eastAsia="黑体" w:cs="Times New Roman"/>
          <w:b/>
          <w:bCs/>
          <w:kern w:val="21"/>
          <w:sz w:val="32"/>
          <w:szCs w:val="32"/>
        </w:rPr>
        <w:br w:type="page"/>
      </w:r>
    </w:p>
    <w:p w14:paraId="7C35BF76">
      <w:pPr>
        <w:pStyle w:val="2"/>
        <w:overflowPunct w:val="0"/>
        <w:topLinePunct/>
        <w:spacing w:line="560" w:lineRule="exact"/>
        <w:rPr>
          <w:rFonts w:hint="eastAsia"/>
          <w:kern w:val="21"/>
        </w:rPr>
        <w:sectPr>
          <w:pgSz w:w="11906" w:h="16838"/>
          <w:pgMar w:top="1928" w:right="1531" w:bottom="1701" w:left="1531" w:header="0" w:footer="992" w:gutter="0"/>
          <w:pgNumType w:fmt="decimal"/>
          <w:cols w:space="0" w:num="1"/>
          <w:rtlGutter w:val="0"/>
          <w:docGrid w:type="lines" w:linePitch="312" w:charSpace="0"/>
        </w:sectPr>
      </w:pPr>
    </w:p>
    <w:p w14:paraId="6621936B">
      <w:pPr>
        <w:pStyle w:val="2"/>
        <w:keepNext w:val="0"/>
        <w:keepLines w:val="0"/>
        <w:pageBreakBefore w:val="0"/>
        <w:widowControl w:val="0"/>
        <w:kinsoku/>
        <w:wordWrap/>
        <w:overflowPunct w:val="0"/>
        <w:topLinePunct/>
        <w:autoSpaceDE/>
        <w:autoSpaceDN/>
        <w:bidi w:val="0"/>
        <w:adjustRightInd/>
        <w:spacing w:line="560" w:lineRule="exact"/>
        <w:textAlignment w:val="auto"/>
        <w:rPr>
          <w:kern w:val="21"/>
        </w:rPr>
      </w:pPr>
      <w:bookmarkStart w:id="458" w:name="_Toc255644871"/>
      <w:bookmarkStart w:id="459" w:name="_Toc1167935530"/>
      <w:bookmarkStart w:id="460" w:name="_Toc13239"/>
      <w:bookmarkStart w:id="461" w:name="_Toc20455"/>
      <w:bookmarkStart w:id="462" w:name="_Toc7070"/>
      <w:bookmarkStart w:id="463" w:name="_Toc24241"/>
      <w:bookmarkStart w:id="464" w:name="_Toc19216"/>
      <w:bookmarkStart w:id="465" w:name="_Toc15510"/>
      <w:bookmarkStart w:id="466" w:name="_Toc1774301859"/>
      <w:bookmarkStart w:id="467" w:name="_Toc30868"/>
      <w:r>
        <w:rPr>
          <w:rFonts w:hint="eastAsia"/>
          <w:kern w:val="21"/>
        </w:rPr>
        <w:t>第</w:t>
      </w:r>
      <w:r>
        <w:rPr>
          <w:rFonts w:hint="eastAsia"/>
          <w:kern w:val="21"/>
          <w:lang w:eastAsia="zh-CN"/>
        </w:rPr>
        <w:t>十</w:t>
      </w:r>
      <w:r>
        <w:rPr>
          <w:rFonts w:hint="eastAsia"/>
          <w:kern w:val="21"/>
        </w:rPr>
        <w:t xml:space="preserve">章  </w:t>
      </w:r>
      <w:r>
        <w:rPr>
          <w:rStyle w:val="27"/>
          <w:rFonts w:hint="eastAsia" w:eastAsia="黑体"/>
          <w:b w:val="0"/>
          <w:bCs/>
          <w:snapToGrid w:val="0"/>
          <w:color w:val="auto"/>
          <w:spacing w:val="0"/>
          <w:sz w:val="32"/>
          <w:szCs w:val="32"/>
          <w:shd w:val="clear" w:color="auto" w:fill="FFFFFF"/>
        </w:rPr>
        <w:t>高水平建设文化强区，以文化赋能经济社会发展</w:t>
      </w:r>
      <w:bookmarkEnd w:id="458"/>
      <w:bookmarkEnd w:id="459"/>
      <w:bookmarkEnd w:id="460"/>
      <w:bookmarkEnd w:id="461"/>
      <w:bookmarkEnd w:id="462"/>
    </w:p>
    <w:bookmarkEnd w:id="463"/>
    <w:bookmarkEnd w:id="464"/>
    <w:bookmarkEnd w:id="465"/>
    <w:bookmarkEnd w:id="466"/>
    <w:bookmarkEnd w:id="467"/>
    <w:p w14:paraId="65D1F283">
      <w:pPr>
        <w:pStyle w:val="41"/>
        <w:keepNext w:val="0"/>
        <w:keepLines w:val="0"/>
        <w:pageBreakBefore w:val="0"/>
        <w:widowControl w:val="0"/>
        <w:kinsoku/>
        <w:wordWrap/>
        <w:overflowPunct w:val="0"/>
        <w:topLinePunct/>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color w:val="auto"/>
          <w:spacing w:val="0"/>
          <w:kern w:val="2"/>
          <w:sz w:val="32"/>
          <w:szCs w:val="32"/>
          <w:lang w:val="en-US" w:eastAsia="zh-CN" w:bidi="ar-SA"/>
        </w:rPr>
      </w:pPr>
    </w:p>
    <w:p w14:paraId="1EEEFA99">
      <w:pPr>
        <w:pStyle w:val="41"/>
        <w:keepNext w:val="0"/>
        <w:keepLines w:val="0"/>
        <w:pageBreakBefore w:val="0"/>
        <w:widowControl w:val="0"/>
        <w:kinsoku/>
        <w:wordWrap/>
        <w:overflowPunct w:val="0"/>
        <w:topLinePunct/>
        <w:autoSpaceDE/>
        <w:autoSpaceDN/>
        <w:bidi w:val="0"/>
        <w:adjustRightInd/>
        <w:snapToGrid/>
        <w:spacing w:line="560" w:lineRule="exact"/>
        <w:ind w:left="0" w:leftChars="0" w:firstLine="640" w:firstLineChars="200"/>
        <w:jc w:val="both"/>
        <w:textAlignment w:val="auto"/>
        <w:rPr>
          <w:rFonts w:hint="default" w:ascii="仿宋_GB2312" w:hAnsi="仿宋_GB2312" w:eastAsia="仿宋_GB2312" w:cs="仿宋_GB2312"/>
          <w:color w:val="auto"/>
          <w:spacing w:val="0"/>
          <w:kern w:val="2"/>
          <w:sz w:val="32"/>
          <w:szCs w:val="32"/>
          <w:lang w:val="en-US" w:eastAsia="zh-CN" w:bidi="ar-SA"/>
        </w:rPr>
      </w:pPr>
      <w:r>
        <w:rPr>
          <w:rFonts w:hint="eastAsia" w:ascii="仿宋_GB2312" w:hAnsi="仿宋_GB2312" w:eastAsia="仿宋_GB2312" w:cs="仿宋_GB2312"/>
          <w:color w:val="auto"/>
          <w:spacing w:val="0"/>
          <w:kern w:val="2"/>
          <w:sz w:val="32"/>
          <w:szCs w:val="32"/>
          <w:lang w:val="en-US" w:eastAsia="zh-CN" w:bidi="ar-SA"/>
        </w:rPr>
        <w:t>坚持深入学习践行习近平文化思想，落实苏州文化传承发展工程，</w:t>
      </w:r>
      <w:r>
        <w:rPr>
          <w:rFonts w:hint="eastAsia" w:ascii="仿宋_GB2312" w:hAnsi="仿宋_GB2312" w:eastAsia="仿宋_GB2312" w:cs="仿宋_GB2312"/>
          <w:color w:val="auto"/>
          <w:spacing w:val="0"/>
          <w:kern w:val="2"/>
          <w:sz w:val="32"/>
          <w:szCs w:val="32"/>
          <w:highlight w:val="none"/>
          <w:lang w:val="en-US" w:eastAsia="zh-CN" w:bidi="ar-SA"/>
        </w:rPr>
        <w:t>以文化人、以文惠民、以文润城、以文兴业，</w:t>
      </w:r>
      <w:r>
        <w:rPr>
          <w:rFonts w:hint="eastAsia" w:ascii="仿宋_GB2312" w:hAnsi="仿宋_GB2312" w:eastAsia="仿宋_GB2312" w:cs="仿宋_GB2312"/>
          <w:color w:val="auto"/>
          <w:spacing w:val="0"/>
          <w:kern w:val="2"/>
          <w:sz w:val="32"/>
          <w:szCs w:val="32"/>
          <w:lang w:val="en-US" w:eastAsia="zh-CN" w:bidi="ar-SA"/>
        </w:rPr>
        <w:t>持续</w:t>
      </w:r>
      <w:r>
        <w:rPr>
          <w:rFonts w:hint="eastAsia" w:ascii="仿宋_GB2312" w:hAnsi="仿宋_GB2312" w:eastAsia="仿宋_GB2312" w:cs="仿宋_GB2312"/>
          <w:color w:val="auto"/>
          <w:spacing w:val="0"/>
          <w:kern w:val="2"/>
          <w:sz w:val="32"/>
          <w:szCs w:val="32"/>
          <w:highlight w:val="none"/>
          <w:lang w:val="en-US" w:eastAsia="zh-CN" w:bidi="ar-SA"/>
        </w:rPr>
        <w:t>激发文化创新创造活力，</w:t>
      </w:r>
      <w:r>
        <w:rPr>
          <w:rFonts w:hint="eastAsia" w:ascii="仿宋_GB2312" w:hAnsi="仿宋_GB2312" w:eastAsia="仿宋_GB2312" w:cs="仿宋_GB2312"/>
          <w:b w:val="0"/>
          <w:i w:val="0"/>
          <w:spacing w:val="0"/>
          <w:w w:val="100"/>
          <w:sz w:val="32"/>
          <w:u w:val="none"/>
          <w:lang w:val="en-US" w:eastAsia="zh-CN"/>
        </w:rPr>
        <w:t>提高文化供给质量，提升文化领域治理能力，丰富“江南文化”吴江体验，</w:t>
      </w:r>
      <w:r>
        <w:rPr>
          <w:rFonts w:hint="eastAsia" w:ascii="仿宋_GB2312" w:hAnsi="仿宋_GB2312" w:eastAsia="仿宋_GB2312" w:cs="仿宋_GB2312"/>
          <w:color w:val="auto"/>
          <w:spacing w:val="0"/>
          <w:kern w:val="2"/>
          <w:sz w:val="32"/>
          <w:szCs w:val="32"/>
          <w:highlight w:val="none"/>
          <w:lang w:val="en-US" w:eastAsia="zh-CN" w:bidi="ar-SA"/>
        </w:rPr>
        <w:t>打造人文与经济协调发展的示范窗口，</w:t>
      </w:r>
      <w:r>
        <w:rPr>
          <w:rFonts w:hint="eastAsia" w:ascii="仿宋_GB2312" w:hAnsi="仿宋_GB2312" w:eastAsia="仿宋_GB2312" w:cs="仿宋_GB2312"/>
          <w:color w:val="auto"/>
          <w:spacing w:val="0"/>
          <w:kern w:val="2"/>
          <w:sz w:val="32"/>
          <w:szCs w:val="32"/>
          <w:lang w:val="en-US" w:eastAsia="zh-CN" w:bidi="ar-SA"/>
        </w:rPr>
        <w:t>全面提升文化软实力。</w:t>
      </w:r>
    </w:p>
    <w:p w14:paraId="68E11B44">
      <w:pPr>
        <w:pStyle w:val="3"/>
        <w:keepNext w:val="0"/>
        <w:keepLines w:val="0"/>
        <w:pageBreakBefore w:val="0"/>
        <w:widowControl w:val="0"/>
        <w:kinsoku/>
        <w:wordWrap/>
        <w:overflowPunct w:val="0"/>
        <w:topLinePunct/>
        <w:autoSpaceDE/>
        <w:autoSpaceDN/>
        <w:bidi w:val="0"/>
        <w:adjustRightInd/>
        <w:spacing w:before="0" w:after="0" w:line="560" w:lineRule="exact"/>
        <w:textAlignment w:val="auto"/>
        <w:rPr>
          <w:rFonts w:hint="eastAsia" w:ascii="楷体_GB2312" w:hAnsi="楷体_GB2312" w:eastAsia="楷体_GB2312" w:cs="楷体_GB2312"/>
          <w:kern w:val="0"/>
          <w:lang w:eastAsia="zh-CN"/>
        </w:rPr>
      </w:pPr>
      <w:bookmarkStart w:id="468" w:name="_Toc10391"/>
      <w:bookmarkStart w:id="469" w:name="_Toc8223"/>
      <w:bookmarkStart w:id="470" w:name="_Toc1045033130"/>
      <w:bookmarkStart w:id="471" w:name="_Toc1302811657"/>
      <w:bookmarkStart w:id="472" w:name="_Toc22629"/>
      <w:r>
        <w:rPr>
          <w:rFonts w:ascii="楷体_GB2312" w:hAnsi="楷体_GB2312" w:eastAsia="楷体_GB2312" w:cs="楷体_GB2312"/>
          <w:kern w:val="0"/>
        </w:rPr>
        <w:t>第</w:t>
      </w:r>
      <w:r>
        <w:rPr>
          <w:rFonts w:hint="eastAsia" w:ascii="楷体_GB2312" w:hAnsi="楷体_GB2312" w:eastAsia="楷体_GB2312" w:cs="楷体_GB2312"/>
          <w:kern w:val="0"/>
          <w:lang w:eastAsia="zh-CN"/>
        </w:rPr>
        <w:t>一</w:t>
      </w:r>
      <w:r>
        <w:rPr>
          <w:rFonts w:ascii="楷体_GB2312" w:hAnsi="楷体_GB2312" w:eastAsia="楷体_GB2312" w:cs="楷体_GB2312"/>
          <w:kern w:val="0"/>
        </w:rPr>
        <w:t xml:space="preserve">节 </w:t>
      </w:r>
      <w:r>
        <w:rPr>
          <w:rFonts w:hint="eastAsia" w:ascii="楷体_GB2312" w:hAnsi="楷体_GB2312" w:eastAsia="楷体_GB2312" w:cs="楷体_GB2312"/>
          <w:kern w:val="0"/>
          <w:lang w:val="en-US" w:eastAsia="zh-CN"/>
        </w:rPr>
        <w:t xml:space="preserve"> </w:t>
      </w:r>
      <w:r>
        <w:rPr>
          <w:rFonts w:hint="eastAsia" w:ascii="楷体_GB2312" w:hAnsi="楷体_GB2312" w:eastAsia="楷体_GB2312" w:cs="楷体_GB2312"/>
        </w:rPr>
        <w:t>弘扬和践行社会主义核心价值观</w:t>
      </w:r>
      <w:bookmarkEnd w:id="468"/>
      <w:bookmarkEnd w:id="469"/>
      <w:bookmarkEnd w:id="470"/>
      <w:bookmarkEnd w:id="471"/>
      <w:bookmarkEnd w:id="472"/>
    </w:p>
    <w:p w14:paraId="6104BC19">
      <w:pPr>
        <w:keepNext w:val="0"/>
        <w:keepLines w:val="0"/>
        <w:pageBreakBefore w:val="0"/>
        <w:widowControl w:val="0"/>
        <w:kinsoku/>
        <w:wordWrap/>
        <w:overflowPunct w:val="0"/>
        <w:topLinePunct/>
        <w:autoSpaceDE/>
        <w:autoSpaceDN/>
        <w:bidi w:val="0"/>
        <w:adjustRightInd/>
        <w:snapToGrid w:val="0"/>
        <w:spacing w:line="560" w:lineRule="exact"/>
        <w:ind w:firstLine="640" w:firstLineChars="200"/>
        <w:jc w:val="both"/>
        <w:textAlignment w:val="auto"/>
        <w:rPr>
          <w:rFonts w:hint="eastAsia" w:ascii="仿宋_GB2312" w:hAnsi="仿宋_GB2312" w:eastAsia="仿宋_GB2312" w:cs="仿宋_GB2312"/>
          <w:b/>
          <w:bCs/>
          <w:spacing w:val="0"/>
          <w:kern w:val="21"/>
          <w:sz w:val="32"/>
        </w:rPr>
      </w:pPr>
      <w:r>
        <w:rPr>
          <w:rFonts w:hint="eastAsia" w:ascii="仿宋_GB2312" w:hAnsi="仿宋_GB2312" w:eastAsia="仿宋_GB2312" w:cs="仿宋_GB2312"/>
          <w:spacing w:val="0"/>
          <w:kern w:val="21"/>
          <w:sz w:val="32"/>
          <w:lang w:eastAsia="zh-CN"/>
        </w:rPr>
        <w:t>坚</w:t>
      </w:r>
      <w:r>
        <w:rPr>
          <w:rFonts w:hint="eastAsia" w:ascii="仿宋_GB2312" w:hAnsi="仿宋_GB2312" w:eastAsia="仿宋_GB2312" w:cs="仿宋_GB2312"/>
          <w:spacing w:val="0"/>
          <w:kern w:val="21"/>
          <w:sz w:val="32"/>
        </w:rPr>
        <w:t>持以</w:t>
      </w:r>
      <w:r>
        <w:rPr>
          <w:rFonts w:hint="eastAsia" w:ascii="仿宋_GB2312" w:hAnsi="仿宋_GB2312" w:eastAsia="仿宋_GB2312" w:cs="仿宋_GB2312"/>
          <w:spacing w:val="0"/>
          <w:kern w:val="21"/>
          <w:sz w:val="32"/>
          <w:lang w:val="en-US" w:eastAsia="zh-CN"/>
        </w:rPr>
        <w:t>党的创新理论</w:t>
      </w:r>
      <w:r>
        <w:rPr>
          <w:rFonts w:hint="eastAsia" w:ascii="仿宋_GB2312" w:hAnsi="仿宋_GB2312" w:eastAsia="仿宋_GB2312" w:cs="仿宋_GB2312"/>
          <w:spacing w:val="0"/>
          <w:kern w:val="21"/>
          <w:sz w:val="32"/>
        </w:rPr>
        <w:t>铸魂育人，牢牢掌握意识形态工作领导权</w:t>
      </w:r>
      <w:r>
        <w:rPr>
          <w:rFonts w:hint="eastAsia" w:ascii="仿宋_GB2312" w:hAnsi="仿宋_GB2312" w:eastAsia="仿宋_GB2312" w:cs="仿宋_GB2312"/>
          <w:spacing w:val="0"/>
          <w:kern w:val="21"/>
          <w:sz w:val="32"/>
          <w:lang w:eastAsia="zh-CN"/>
        </w:rPr>
        <w:t>，</w:t>
      </w:r>
      <w:r>
        <w:rPr>
          <w:rFonts w:hint="eastAsia" w:ascii="仿宋_GB2312" w:hAnsi="仿宋_GB2312" w:eastAsia="仿宋_GB2312" w:cs="仿宋_GB2312"/>
          <w:b w:val="0"/>
          <w:i w:val="0"/>
          <w:spacing w:val="0"/>
          <w:w w:val="100"/>
          <w:sz w:val="32"/>
          <w:u w:val="none"/>
          <w:lang w:val="en-US" w:eastAsia="zh-CN"/>
        </w:rPr>
        <w:t>进一步发展壮大主流价值和主流舆论，巩固团结奋斗的共同思想基础</w:t>
      </w:r>
      <w:r>
        <w:rPr>
          <w:rFonts w:hint="eastAsia" w:ascii="仿宋_GB2312" w:hAnsi="仿宋_GB2312" w:eastAsia="仿宋_GB2312" w:cs="仿宋_GB2312"/>
          <w:color w:val="auto"/>
          <w:spacing w:val="0"/>
          <w:sz w:val="32"/>
          <w:szCs w:val="32"/>
          <w:highlight w:val="none"/>
          <w:lang w:val="en-US" w:eastAsia="zh-CN"/>
        </w:rPr>
        <w:t>。</w:t>
      </w:r>
    </w:p>
    <w:p w14:paraId="7C04A225">
      <w:pPr>
        <w:keepNext w:val="0"/>
        <w:keepLines w:val="0"/>
        <w:pageBreakBefore w:val="0"/>
        <w:widowControl w:val="0"/>
        <w:kinsoku/>
        <w:wordWrap/>
        <w:overflowPunct w:val="0"/>
        <w:topLinePunct/>
        <w:autoSpaceDE/>
        <w:autoSpaceDN/>
        <w:bidi w:val="0"/>
        <w:adjustRightInd/>
        <w:snapToGrid w:val="0"/>
        <w:spacing w:line="560" w:lineRule="exact"/>
        <w:ind w:firstLine="643" w:firstLineChars="200"/>
        <w:jc w:val="left"/>
        <w:textAlignment w:val="auto"/>
        <w:rPr>
          <w:rFonts w:hint="eastAsia" w:ascii="仿宋_GB2312" w:hAnsi="仿宋_GB2312" w:eastAsia="仿宋_GB2312" w:cs="仿宋_GB2312"/>
          <w:b w:val="0"/>
          <w:i w:val="0"/>
          <w:spacing w:val="0"/>
          <w:w w:val="100"/>
          <w:sz w:val="32"/>
          <w:u w:val="none"/>
          <w:lang w:val="en-US" w:eastAsia="zh-CN"/>
        </w:rPr>
      </w:pPr>
      <w:bookmarkStart w:id="473" w:name="_Toc793435471"/>
      <w:bookmarkStart w:id="474" w:name="_Toc29087"/>
      <w:bookmarkStart w:id="475" w:name="_Toc17313"/>
      <w:bookmarkStart w:id="476" w:name="_Toc2398"/>
      <w:bookmarkStart w:id="477" w:name="_Toc2139677192"/>
      <w:r>
        <w:rPr>
          <w:rStyle w:val="46"/>
          <w:rFonts w:hint="eastAsia" w:ascii="仿宋_GB2312" w:hAnsi="仿宋_GB2312" w:eastAsia="仿宋_GB2312" w:cs="Times New Roman"/>
          <w:b/>
          <w:bCs/>
          <w:kern w:val="21"/>
          <w:sz w:val="32"/>
          <w:lang w:val="en-US" w:eastAsia="zh-CN"/>
        </w:rPr>
        <w:t>筑牢理想信念根基</w:t>
      </w:r>
      <w:bookmarkEnd w:id="473"/>
      <w:bookmarkEnd w:id="474"/>
      <w:bookmarkEnd w:id="475"/>
      <w:bookmarkEnd w:id="476"/>
      <w:bookmarkEnd w:id="477"/>
      <w:r>
        <w:rPr>
          <w:rFonts w:hint="eastAsia" w:ascii="仿宋_GB2312" w:hAnsi="仿宋_GB2312" w:eastAsia="仿宋_GB2312" w:cs="仿宋_GB2312"/>
          <w:b/>
          <w:bCs/>
          <w:kern w:val="21"/>
          <w:sz w:val="32"/>
          <w:lang w:eastAsia="zh-CN"/>
        </w:rPr>
        <w:t>。</w:t>
      </w:r>
      <w:r>
        <w:rPr>
          <w:rFonts w:hint="eastAsia" w:ascii="仿宋_GB2312" w:hAnsi="仿宋_GB2312" w:eastAsia="仿宋_GB2312" w:cs="仿宋_GB2312"/>
          <w:b w:val="0"/>
          <w:bCs w:val="0"/>
          <w:kern w:val="21"/>
          <w:sz w:val="32"/>
          <w:lang w:val="en-US" w:eastAsia="zh-CN"/>
        </w:rPr>
        <w:t>深化</w:t>
      </w:r>
      <w:r>
        <w:rPr>
          <w:rFonts w:hint="eastAsia" w:ascii="仿宋_GB2312" w:hAnsi="仿宋_GB2312" w:eastAsia="仿宋_GB2312" w:cs="仿宋_GB2312"/>
          <w:color w:val="auto"/>
          <w:spacing w:val="0"/>
          <w:sz w:val="32"/>
          <w:szCs w:val="32"/>
          <w:highlight w:val="none"/>
          <w:lang w:val="en-US" w:eastAsia="zh-CN"/>
        </w:rPr>
        <w:t>“鲈乡燕语”</w:t>
      </w:r>
      <w:r>
        <w:rPr>
          <w:rFonts w:hint="eastAsia" w:ascii="仿宋_GB2312" w:hAnsi="仿宋_GB2312" w:eastAsia="仿宋_GB2312" w:cs="仿宋_GB2312"/>
          <w:b w:val="0"/>
          <w:i w:val="0"/>
          <w:spacing w:val="0"/>
          <w:w w:val="100"/>
          <w:sz w:val="32"/>
          <w:u w:val="none"/>
          <w:lang w:val="en-US" w:eastAsia="zh-CN"/>
        </w:rPr>
        <w:t>理论宣讲品牌建设，推动习近平新时代中国特色社会主义思想落地生根、走深走实。</w:t>
      </w:r>
      <w:r>
        <w:rPr>
          <w:rFonts w:hint="eastAsia" w:ascii="仿宋_GB2312" w:hAnsi="仿宋_GB2312" w:eastAsia="仿宋_GB2312" w:cs="仿宋_GB2312"/>
          <w:color w:val="auto"/>
          <w:spacing w:val="0"/>
          <w:sz w:val="32"/>
          <w:szCs w:val="32"/>
          <w:highlight w:val="none"/>
          <w:lang w:val="en-US" w:eastAsia="zh-CN"/>
        </w:rPr>
        <w:t>深化城乡精神文明建设，统筹推进文明培育、文明实践、文明创建，提升人民文明素养和社会文明程度</w:t>
      </w:r>
      <w:r>
        <w:rPr>
          <w:rFonts w:hint="eastAsia" w:ascii="仿宋_GB2312" w:hAnsi="仿宋_GB2312" w:eastAsia="仿宋_GB2312" w:cs="仿宋_GB2312"/>
          <w:kern w:val="21"/>
          <w:sz w:val="32"/>
        </w:rPr>
        <w:t>。</w:t>
      </w:r>
      <w:r>
        <w:rPr>
          <w:rFonts w:hint="eastAsia" w:ascii="仿宋_GB2312" w:hAnsi="仿宋_GB2312" w:eastAsia="仿宋_GB2312" w:cs="仿宋_GB2312"/>
          <w:kern w:val="21"/>
          <w:sz w:val="32"/>
          <w:lang w:val="en-US" w:eastAsia="zh-CN"/>
        </w:rPr>
        <w:t>深化公民道德建设，</w:t>
      </w:r>
      <w:r>
        <w:rPr>
          <w:rFonts w:hint="eastAsia" w:ascii="仿宋_GB2312" w:hAnsi="仿宋_GB2312" w:eastAsia="仿宋_GB2312" w:cs="仿宋_GB2312"/>
          <w:b w:val="0"/>
          <w:i w:val="0"/>
          <w:spacing w:val="0"/>
          <w:w w:val="100"/>
          <w:sz w:val="32"/>
          <w:u w:val="none"/>
          <w:lang w:val="en-US" w:eastAsia="zh-CN"/>
        </w:rPr>
        <w:t>健全诚信建设长效机制，加强新时代廉洁文化建设。</w:t>
      </w:r>
      <w:r>
        <w:rPr>
          <w:rFonts w:hint="eastAsia" w:ascii="仿宋_GB2312" w:hAnsi="仿宋_GB2312" w:eastAsia="仿宋_GB2312" w:cs="仿宋_GB2312"/>
          <w:color w:val="auto"/>
          <w:spacing w:val="0"/>
          <w:sz w:val="32"/>
          <w:szCs w:val="32"/>
          <w:highlight w:val="none"/>
          <w:lang w:val="en-US" w:eastAsia="zh-CN"/>
        </w:rPr>
        <w:t>抓好思想政治工作，</w:t>
      </w:r>
      <w:r>
        <w:rPr>
          <w:rFonts w:hint="eastAsia" w:ascii="仿宋_GB2312" w:hAnsi="仿宋_GB2312" w:eastAsia="仿宋_GB2312" w:cs="仿宋_GB2312"/>
          <w:kern w:val="21"/>
          <w:sz w:val="32"/>
        </w:rPr>
        <w:t>发挥好苏州公民道德馆</w:t>
      </w:r>
      <w:r>
        <w:rPr>
          <w:rFonts w:hint="eastAsia" w:ascii="仿宋_GB2312" w:hAnsi="仿宋_GB2312" w:eastAsia="仿宋_GB2312" w:cs="仿宋_GB2312"/>
          <w:kern w:val="21"/>
          <w:sz w:val="32"/>
          <w:lang w:val="en-US" w:eastAsia="zh-CN"/>
        </w:rPr>
        <w:t>等</w:t>
      </w:r>
      <w:r>
        <w:rPr>
          <w:rFonts w:hint="eastAsia" w:ascii="仿宋_GB2312" w:hAnsi="仿宋_GB2312" w:eastAsia="仿宋_GB2312" w:cs="仿宋_GB2312"/>
          <w:kern w:val="21"/>
          <w:sz w:val="32"/>
        </w:rPr>
        <w:t>阵地作用，</w:t>
      </w:r>
      <w:r>
        <w:rPr>
          <w:rFonts w:hint="eastAsia" w:ascii="仿宋_GB2312" w:hAnsi="仿宋_GB2312" w:eastAsia="仿宋_GB2312" w:cs="仿宋_GB2312"/>
          <w:color w:val="auto"/>
          <w:spacing w:val="0"/>
          <w:sz w:val="32"/>
          <w:szCs w:val="32"/>
          <w:highlight w:val="none"/>
          <w:lang w:val="en-US" w:eastAsia="zh-CN"/>
        </w:rPr>
        <w:t>用好红色资源，推动党的创新理论深入到各行业各领域。深化大中小学思政课一体化建设，加强青少年理想信念教育。</w:t>
      </w:r>
      <w:r>
        <w:rPr>
          <w:rFonts w:hint="eastAsia" w:ascii="仿宋_GB2312" w:hAnsi="仿宋_GB2312" w:eastAsia="仿宋_GB2312" w:cs="仿宋_GB2312"/>
          <w:b w:val="0"/>
          <w:i w:val="0"/>
          <w:spacing w:val="0"/>
          <w:w w:val="100"/>
          <w:sz w:val="32"/>
          <w:u w:val="none"/>
          <w:lang w:val="en-US" w:eastAsia="zh-CN"/>
        </w:rPr>
        <w:t>建设高水平社科强区。</w:t>
      </w:r>
    </w:p>
    <w:p w14:paraId="2E859397">
      <w:pPr>
        <w:keepNext w:val="0"/>
        <w:keepLines w:val="0"/>
        <w:pageBreakBefore w:val="0"/>
        <w:widowControl w:val="0"/>
        <w:kinsoku/>
        <w:wordWrap/>
        <w:overflowPunct w:val="0"/>
        <w:topLinePunct/>
        <w:autoSpaceDE/>
        <w:autoSpaceDN/>
        <w:bidi w:val="0"/>
        <w:adjustRightInd/>
        <w:snapToGrid w:val="0"/>
        <w:spacing w:line="560" w:lineRule="exact"/>
        <w:ind w:firstLine="643" w:firstLineChars="200"/>
        <w:jc w:val="left"/>
        <w:textAlignment w:val="auto"/>
        <w:rPr>
          <w:rFonts w:hint="eastAsia" w:ascii="仿宋_GB2312" w:hAnsi="仿宋_GB2312" w:eastAsia="仿宋_GB2312" w:cs="仿宋_GB2312"/>
          <w:kern w:val="21"/>
          <w:sz w:val="32"/>
        </w:rPr>
      </w:pPr>
      <w:bookmarkStart w:id="478" w:name="_Toc11804"/>
      <w:bookmarkStart w:id="479" w:name="_Toc11123"/>
      <w:bookmarkStart w:id="480" w:name="_Toc23730"/>
      <w:bookmarkStart w:id="481" w:name="_Toc1686389873"/>
      <w:bookmarkStart w:id="482" w:name="_Toc1671089696"/>
      <w:r>
        <w:rPr>
          <w:rStyle w:val="46"/>
          <w:rFonts w:hint="eastAsia" w:ascii="仿宋_GB2312" w:hAnsi="仿宋_GB2312" w:eastAsia="仿宋_GB2312" w:cs="Times New Roman"/>
          <w:kern w:val="21"/>
          <w:sz w:val="32"/>
          <w:lang w:eastAsia="zh-CN"/>
        </w:rPr>
        <w:t>深化</w:t>
      </w:r>
      <w:r>
        <w:rPr>
          <w:rStyle w:val="46"/>
          <w:rFonts w:hint="eastAsia" w:ascii="仿宋_GB2312" w:hAnsi="仿宋_GB2312" w:eastAsia="仿宋_GB2312" w:cs="Times New Roman"/>
          <w:kern w:val="21"/>
          <w:sz w:val="32"/>
        </w:rPr>
        <w:t>人文经济学</w:t>
      </w:r>
      <w:r>
        <w:rPr>
          <w:rStyle w:val="46"/>
          <w:rFonts w:hint="eastAsia" w:ascii="仿宋_GB2312" w:hAnsi="仿宋_GB2312" w:eastAsia="仿宋_GB2312" w:cs="Times New Roman"/>
          <w:kern w:val="21"/>
          <w:sz w:val="32"/>
          <w:lang w:val="en-US" w:eastAsia="zh-CN"/>
        </w:rPr>
        <w:t>实践和</w:t>
      </w:r>
      <w:r>
        <w:rPr>
          <w:rStyle w:val="46"/>
          <w:rFonts w:hint="eastAsia" w:ascii="仿宋_GB2312" w:hAnsi="仿宋_GB2312" w:eastAsia="仿宋_GB2312" w:cs="Times New Roman"/>
          <w:kern w:val="21"/>
          <w:sz w:val="32"/>
        </w:rPr>
        <w:t>研究</w:t>
      </w:r>
      <w:bookmarkEnd w:id="478"/>
      <w:bookmarkEnd w:id="479"/>
      <w:bookmarkEnd w:id="480"/>
      <w:bookmarkEnd w:id="481"/>
      <w:bookmarkEnd w:id="482"/>
      <w:r>
        <w:rPr>
          <w:rFonts w:hint="eastAsia" w:ascii="仿宋_GB2312" w:hAnsi="仿宋_GB2312" w:eastAsia="仿宋_GB2312" w:cs="仿宋_GB2312"/>
          <w:b/>
          <w:bCs/>
          <w:kern w:val="21"/>
          <w:sz w:val="32"/>
          <w:lang w:eastAsia="zh-CN"/>
        </w:rPr>
        <w:t>。</w:t>
      </w:r>
      <w:r>
        <w:rPr>
          <w:rFonts w:hint="eastAsia" w:ascii="仿宋_GB2312" w:hAnsi="仿宋_GB2312" w:eastAsia="仿宋_GB2312" w:cs="仿宋_GB2312"/>
          <w:i w:val="0"/>
          <w:caps w:val="0"/>
          <w:spacing w:val="0"/>
          <w:sz w:val="32"/>
          <w:szCs w:val="40"/>
          <w:highlight w:val="none"/>
          <w:lang w:val="en-US" w:eastAsia="zh-CN"/>
        </w:rPr>
        <w:t>落实“</w:t>
      </w:r>
      <w:r>
        <w:rPr>
          <w:rFonts w:ascii="仿宋_GB2312" w:hAnsi="仿宋_GB2312" w:eastAsia="仿宋_GB2312" w:cs="仿宋_GB2312"/>
          <w:i w:val="0"/>
          <w:caps w:val="0"/>
          <w:spacing w:val="0"/>
          <w:sz w:val="32"/>
          <w:szCs w:val="40"/>
          <w:highlight w:val="none"/>
        </w:rPr>
        <w:t>以文化人、以</w:t>
      </w:r>
      <w:r>
        <w:rPr>
          <w:rFonts w:hint="eastAsia" w:ascii="仿宋_GB2312" w:hAnsi="仿宋_GB2312" w:eastAsia="仿宋_GB2312" w:cs="仿宋_GB2312"/>
          <w:i w:val="0"/>
          <w:caps w:val="0"/>
          <w:spacing w:val="0"/>
          <w:sz w:val="32"/>
          <w:szCs w:val="40"/>
          <w:highlight w:val="none"/>
          <w:lang w:val="en-US" w:eastAsia="zh-CN"/>
        </w:rPr>
        <w:t>人促经</w:t>
      </w:r>
      <w:r>
        <w:rPr>
          <w:rFonts w:ascii="仿宋_GB2312" w:hAnsi="仿宋_GB2312" w:eastAsia="仿宋_GB2312" w:cs="仿宋_GB2312"/>
          <w:i w:val="0"/>
          <w:caps w:val="0"/>
          <w:spacing w:val="0"/>
          <w:sz w:val="32"/>
          <w:szCs w:val="40"/>
          <w:highlight w:val="none"/>
        </w:rPr>
        <w:t>、以</w:t>
      </w:r>
      <w:r>
        <w:rPr>
          <w:rFonts w:hint="eastAsia" w:ascii="仿宋_GB2312" w:hAnsi="仿宋_GB2312" w:eastAsia="仿宋_GB2312" w:cs="仿宋_GB2312"/>
          <w:i w:val="0"/>
          <w:caps w:val="0"/>
          <w:spacing w:val="0"/>
          <w:sz w:val="32"/>
          <w:szCs w:val="40"/>
          <w:highlight w:val="none"/>
          <w:lang w:val="en-US" w:eastAsia="zh-CN"/>
        </w:rPr>
        <w:t>经育文”</w:t>
      </w:r>
      <w:r>
        <w:rPr>
          <w:rFonts w:ascii="仿宋_GB2312" w:hAnsi="仿宋_GB2312" w:eastAsia="仿宋_GB2312" w:cs="仿宋_GB2312"/>
          <w:i w:val="0"/>
          <w:caps w:val="0"/>
          <w:spacing w:val="0"/>
          <w:sz w:val="32"/>
          <w:szCs w:val="40"/>
          <w:highlight w:val="none"/>
        </w:rPr>
        <w:t>发展</w:t>
      </w:r>
      <w:r>
        <w:rPr>
          <w:rFonts w:hint="eastAsia" w:ascii="仿宋_GB2312" w:hAnsi="仿宋_GB2312" w:eastAsia="仿宋_GB2312" w:cs="仿宋_GB2312"/>
          <w:i w:val="0"/>
          <w:caps w:val="0"/>
          <w:spacing w:val="0"/>
          <w:sz w:val="32"/>
          <w:szCs w:val="40"/>
          <w:highlight w:val="none"/>
          <w:lang w:val="en-US" w:eastAsia="zh-CN"/>
        </w:rPr>
        <w:t>思路，高标准打造人文经济学实践与研究基地，</w:t>
      </w:r>
      <w:r>
        <w:rPr>
          <w:rFonts w:hint="eastAsia" w:ascii="仿宋_GB2312" w:hAnsi="仿宋_GB2312" w:eastAsia="仿宋_GB2312" w:cs="仿宋_GB2312"/>
          <w:color w:val="auto"/>
          <w:spacing w:val="0"/>
          <w:sz w:val="32"/>
          <w:szCs w:val="32"/>
          <w:highlight w:val="none"/>
          <w:lang w:val="en-US" w:eastAsia="zh-CN"/>
        </w:rPr>
        <w:t>深入推进实践和理论研究，加强与全国知名研究机构合作，创造更多人文经济发展案例，为区域高质量发展注入内生动力。</w:t>
      </w:r>
      <w:r>
        <w:rPr>
          <w:rFonts w:hint="eastAsia" w:ascii="仿宋_GB2312" w:hAnsi="仿宋_GB2312" w:eastAsia="仿宋_GB2312" w:cs="仿宋_GB2312"/>
          <w:kern w:val="21"/>
          <w:sz w:val="32"/>
        </w:rPr>
        <w:t>深耕费孝通学术思想研究，讲好新时代江村故事，把苏州江村学院打造成中国式现代化吴江新实践的重要窗口</w:t>
      </w:r>
      <w:r>
        <w:rPr>
          <w:rFonts w:hint="eastAsia" w:ascii="仿宋_GB2312" w:hAnsi="仿宋_GB2312" w:eastAsia="仿宋_GB2312" w:cs="仿宋_GB2312"/>
          <w:kern w:val="21"/>
          <w:sz w:val="32"/>
          <w:lang w:eastAsia="zh-CN"/>
        </w:rPr>
        <w:t>。</w:t>
      </w:r>
    </w:p>
    <w:p w14:paraId="1C7A8DA4">
      <w:pPr>
        <w:keepNext w:val="0"/>
        <w:keepLines w:val="0"/>
        <w:pageBreakBefore w:val="0"/>
        <w:widowControl w:val="0"/>
        <w:kinsoku/>
        <w:wordWrap/>
        <w:overflowPunct w:val="0"/>
        <w:topLinePunct/>
        <w:autoSpaceDE/>
        <w:autoSpaceDN/>
        <w:bidi w:val="0"/>
        <w:adjustRightInd/>
        <w:snapToGrid/>
        <w:spacing w:beforeAutospacing="0" w:afterAutospacing="0" w:line="560" w:lineRule="exact"/>
        <w:ind w:left="0" w:leftChars="0" w:right="0" w:rightChars="0" w:firstLine="643" w:firstLineChars="200"/>
        <w:jc w:val="both"/>
        <w:textAlignment w:val="auto"/>
        <w:outlineLvl w:val="1"/>
        <w:rPr>
          <w:rFonts w:hint="eastAsia" w:ascii="仿宋_GB2312" w:hAnsi="仿宋_GB2312" w:eastAsia="仿宋_GB2312" w:cs="仿宋_GB2312"/>
          <w:b w:val="0"/>
          <w:i w:val="0"/>
          <w:spacing w:val="0"/>
          <w:w w:val="100"/>
          <w:sz w:val="32"/>
          <w:u w:val="none"/>
          <w:lang w:val="en-US" w:eastAsia="zh-CN"/>
        </w:rPr>
      </w:pPr>
      <w:bookmarkStart w:id="483" w:name="_Toc533"/>
      <w:r>
        <w:rPr>
          <w:rStyle w:val="46"/>
          <w:rFonts w:hint="eastAsia" w:ascii="仿宋_GB2312" w:hAnsi="仿宋_GB2312" w:eastAsia="仿宋_GB2312" w:cs="Times New Roman"/>
          <w:b/>
          <w:bCs/>
          <w:i w:val="0"/>
          <w:spacing w:val="0"/>
          <w:w w:val="100"/>
          <w:kern w:val="21"/>
          <w:sz w:val="32"/>
          <w:u w:val="none"/>
          <w:lang w:val="en-US" w:eastAsia="zh-CN"/>
        </w:rPr>
        <w:t>加快打造全媒体传播矩阵。</w:t>
      </w:r>
      <w:r>
        <w:rPr>
          <w:rFonts w:hint="eastAsia" w:ascii="仿宋_GB2312" w:hAnsi="仿宋_GB2312" w:eastAsia="仿宋_GB2312" w:cs="仿宋_GB2312"/>
          <w:b w:val="0"/>
          <w:i w:val="0"/>
          <w:spacing w:val="0"/>
          <w:w w:val="100"/>
          <w:sz w:val="32"/>
          <w:u w:val="none"/>
          <w:lang w:val="en-US" w:eastAsia="zh-CN"/>
        </w:rPr>
        <w:t>持续推进媒体深度融合，</w:t>
      </w:r>
      <w:r>
        <w:rPr>
          <w:rFonts w:hint="eastAsia" w:ascii="仿宋_GB2312" w:hAnsi="仿宋_GB2312" w:eastAsia="仿宋_GB2312" w:cs="仿宋_GB2312"/>
          <w:color w:val="auto"/>
          <w:spacing w:val="0"/>
          <w:sz w:val="32"/>
          <w:szCs w:val="32"/>
          <w:highlight w:val="none"/>
          <w:lang w:val="en-US" w:eastAsia="zh-CN"/>
        </w:rPr>
        <w:t>加强全媒体传播体系建设，</w:t>
      </w:r>
      <w:r>
        <w:rPr>
          <w:rFonts w:hint="eastAsia" w:ascii="仿宋_GB2312" w:hAnsi="仿宋_GB2312" w:eastAsia="仿宋_GB2312" w:cs="仿宋_GB2312"/>
          <w:b w:val="0"/>
          <w:i w:val="0"/>
          <w:spacing w:val="0"/>
          <w:w w:val="100"/>
          <w:sz w:val="32"/>
          <w:u w:val="none"/>
          <w:lang w:val="en-US" w:eastAsia="zh-CN"/>
        </w:rPr>
        <w:t>一体推进优质内容、优质平台和优质全媒体品牌建设，打造有影响力的精品栏目，</w:t>
      </w:r>
      <w:r>
        <w:rPr>
          <w:rFonts w:hint="eastAsia" w:ascii="仿宋_GB2312" w:hAnsi="仿宋_GB2312" w:eastAsia="仿宋_GB2312" w:cs="仿宋_GB2312"/>
          <w:b w:val="0"/>
          <w:i w:val="0"/>
          <w:spacing w:val="0"/>
          <w:w w:val="100"/>
          <w:sz w:val="32"/>
          <w:u w:val="none"/>
        </w:rPr>
        <w:t>巩固壮大主流舆论</w:t>
      </w:r>
      <w:r>
        <w:rPr>
          <w:rFonts w:hint="eastAsia" w:ascii="仿宋_GB2312" w:hAnsi="仿宋_GB2312" w:eastAsia="仿宋_GB2312" w:cs="仿宋_GB2312"/>
          <w:b w:val="0"/>
          <w:i w:val="0"/>
          <w:spacing w:val="0"/>
          <w:w w:val="100"/>
          <w:sz w:val="32"/>
          <w:u w:val="none"/>
          <w:lang w:eastAsia="zh-CN"/>
        </w:rPr>
        <w:t>。</w:t>
      </w:r>
      <w:r>
        <w:rPr>
          <w:rFonts w:hint="eastAsia" w:ascii="仿宋_GB2312" w:hAnsi="仿宋_GB2312" w:eastAsia="仿宋_GB2312" w:cs="仿宋_GB2312"/>
          <w:b w:val="0"/>
          <w:i w:val="0"/>
          <w:spacing w:val="0"/>
          <w:w w:val="100"/>
          <w:sz w:val="32"/>
          <w:u w:val="none"/>
          <w:lang w:val="en-US" w:eastAsia="zh-CN"/>
        </w:rPr>
        <w:t>优化自媒体培育、管理，推进新闻宣传和网络舆论一体化管理，健全网络生态治理长效机制。深化与中央和省市媒体协作，合作推出创新融媒项目，在更高载体、更多平台展示吴江开放包容的城市形象。加强文化出海，用好江南文化独特资源，讲好吴江文化故事，构建多渠道、立体式对外传播格局。</w:t>
      </w:r>
      <w:bookmarkEnd w:id="483"/>
    </w:p>
    <w:p w14:paraId="432CC137">
      <w:pPr>
        <w:pStyle w:val="3"/>
        <w:keepNext w:val="0"/>
        <w:keepLines w:val="0"/>
        <w:pageBreakBefore w:val="0"/>
        <w:widowControl w:val="0"/>
        <w:kinsoku/>
        <w:wordWrap/>
        <w:overflowPunct w:val="0"/>
        <w:topLinePunct/>
        <w:autoSpaceDE/>
        <w:autoSpaceDN/>
        <w:bidi w:val="0"/>
        <w:adjustRightInd/>
        <w:spacing w:before="0" w:after="0" w:line="560" w:lineRule="exact"/>
        <w:textAlignment w:val="auto"/>
        <w:rPr>
          <w:rFonts w:hint="eastAsia" w:ascii="楷体_GB2312" w:hAnsi="楷体_GB2312" w:eastAsia="楷体_GB2312" w:cs="楷体_GB2312"/>
          <w:kern w:val="0"/>
          <w:lang w:eastAsia="zh-CN"/>
        </w:rPr>
      </w:pPr>
      <w:bookmarkStart w:id="484" w:name="_Toc1365533836"/>
      <w:bookmarkStart w:id="485" w:name="_Toc7979"/>
      <w:bookmarkStart w:id="486" w:name="_Toc1097232856"/>
      <w:bookmarkStart w:id="487" w:name="_Toc21659"/>
      <w:bookmarkStart w:id="488" w:name="_Toc20703"/>
      <w:r>
        <w:rPr>
          <w:rFonts w:ascii="楷体_GB2312" w:hAnsi="楷体_GB2312" w:eastAsia="楷体_GB2312" w:cs="楷体_GB2312"/>
          <w:kern w:val="0"/>
        </w:rPr>
        <w:t>第</w:t>
      </w:r>
      <w:r>
        <w:rPr>
          <w:rFonts w:hint="eastAsia" w:ascii="楷体_GB2312" w:hAnsi="楷体_GB2312" w:eastAsia="楷体_GB2312" w:cs="楷体_GB2312"/>
          <w:kern w:val="0"/>
          <w:lang w:eastAsia="zh-CN"/>
        </w:rPr>
        <w:t>二</w:t>
      </w:r>
      <w:r>
        <w:rPr>
          <w:rFonts w:ascii="楷体_GB2312" w:hAnsi="楷体_GB2312" w:eastAsia="楷体_GB2312" w:cs="楷体_GB2312"/>
          <w:kern w:val="0"/>
        </w:rPr>
        <w:t xml:space="preserve">节 </w:t>
      </w:r>
      <w:r>
        <w:rPr>
          <w:rFonts w:hint="eastAsia" w:ascii="楷体_GB2312" w:hAnsi="楷体_GB2312" w:eastAsia="楷体_GB2312" w:cs="楷体_GB2312"/>
          <w:kern w:val="0"/>
          <w:lang w:val="en-US" w:eastAsia="zh-CN"/>
        </w:rPr>
        <w:t xml:space="preserve"> </w:t>
      </w:r>
      <w:r>
        <w:rPr>
          <w:rFonts w:hint="eastAsia" w:ascii="楷体_GB2312" w:hAnsi="楷体_GB2312" w:eastAsia="楷体_GB2312" w:cs="楷体_GB2312"/>
          <w:lang w:eastAsia="zh-CN"/>
        </w:rPr>
        <w:t>增强文化软实力</w:t>
      </w:r>
      <w:bookmarkEnd w:id="484"/>
      <w:bookmarkEnd w:id="485"/>
      <w:bookmarkEnd w:id="486"/>
      <w:bookmarkEnd w:id="487"/>
      <w:bookmarkEnd w:id="488"/>
    </w:p>
    <w:p w14:paraId="1E94E2B0">
      <w:pPr>
        <w:keepNext w:val="0"/>
        <w:keepLines w:val="0"/>
        <w:pageBreakBefore w:val="0"/>
        <w:widowControl w:val="0"/>
        <w:kinsoku/>
        <w:wordWrap/>
        <w:overflowPunct w:val="0"/>
        <w:topLinePunct/>
        <w:autoSpaceDE/>
        <w:autoSpaceDN/>
        <w:bidi w:val="0"/>
        <w:adjustRightInd/>
        <w:snapToGrid w:val="0"/>
        <w:spacing w:line="560" w:lineRule="exact"/>
        <w:ind w:firstLine="640" w:firstLineChars="200"/>
        <w:textAlignment w:val="auto"/>
        <w:rPr>
          <w:rFonts w:hint="eastAsia" w:ascii="仿宋_GB2312" w:hAnsi="仿宋_GB2312" w:eastAsia="仿宋_GB2312" w:cs="仿宋_GB2312"/>
          <w:spacing w:val="0"/>
          <w:kern w:val="21"/>
          <w:sz w:val="32"/>
        </w:rPr>
      </w:pPr>
      <w:r>
        <w:rPr>
          <w:rFonts w:hint="eastAsia" w:ascii="仿宋_GB2312" w:hAnsi="仿宋_GB2312" w:eastAsia="仿宋_GB2312" w:cs="仿宋_GB2312"/>
          <w:spacing w:val="0"/>
          <w:kern w:val="21"/>
          <w:sz w:val="32"/>
          <w:lang w:eastAsia="zh-CN"/>
        </w:rPr>
        <w:t>加强历史文化保护传承，</w:t>
      </w:r>
      <w:r>
        <w:rPr>
          <w:rFonts w:hint="eastAsia" w:ascii="仿宋_GB2312" w:hAnsi="仿宋_GB2312" w:eastAsia="仿宋_GB2312" w:cs="仿宋_GB2312"/>
          <w:spacing w:val="0"/>
          <w:kern w:val="21"/>
          <w:sz w:val="32"/>
        </w:rPr>
        <w:t>推动传统文化创造性转化、创新性发展，</w:t>
      </w:r>
      <w:r>
        <w:rPr>
          <w:rFonts w:hint="eastAsia" w:ascii="仿宋_GB2312" w:hAnsi="仿宋_GB2312" w:eastAsia="仿宋_GB2312" w:cs="仿宋_GB2312"/>
          <w:b w:val="0"/>
          <w:i w:val="0"/>
          <w:spacing w:val="0"/>
          <w:w w:val="100"/>
          <w:sz w:val="32"/>
          <w:u w:val="none"/>
          <w:lang w:val="en-US" w:eastAsia="zh-CN"/>
        </w:rPr>
        <w:t>打造江南文化的最佳体验地和长三角时尚文旅的引领地</w:t>
      </w:r>
      <w:r>
        <w:rPr>
          <w:rFonts w:hint="eastAsia" w:ascii="仿宋_GB2312" w:hAnsi="仿宋_GB2312" w:eastAsia="仿宋_GB2312" w:cs="仿宋_GB2312"/>
          <w:spacing w:val="0"/>
          <w:kern w:val="21"/>
          <w:sz w:val="32"/>
        </w:rPr>
        <w:t>。</w:t>
      </w:r>
    </w:p>
    <w:p w14:paraId="4666FD3B">
      <w:pPr>
        <w:keepNext w:val="0"/>
        <w:keepLines w:val="0"/>
        <w:pageBreakBefore w:val="0"/>
        <w:widowControl w:val="0"/>
        <w:kinsoku/>
        <w:wordWrap/>
        <w:overflowPunct w:val="0"/>
        <w:topLinePunct/>
        <w:autoSpaceDE/>
        <w:autoSpaceDN/>
        <w:bidi w:val="0"/>
        <w:adjustRightInd/>
        <w:snapToGrid w:val="0"/>
        <w:spacing w:beforeAutospacing="0" w:afterAutospacing="0" w:line="560" w:lineRule="exact"/>
        <w:ind w:left="0" w:leftChars="0" w:right="0" w:rightChars="0" w:firstLine="643" w:firstLineChars="200"/>
        <w:jc w:val="left"/>
        <w:textAlignment w:val="auto"/>
        <w:outlineLvl w:val="9"/>
        <w:rPr>
          <w:rFonts w:hint="eastAsia" w:ascii="仿宋_GB2312" w:hAnsi="仿宋_GB2312" w:eastAsia="仿宋_GB2312" w:cs="仿宋_GB2312"/>
          <w:b w:val="0"/>
          <w:bCs/>
          <w:color w:val="auto"/>
          <w:spacing w:val="0"/>
          <w:sz w:val="32"/>
          <w:highlight w:val="none"/>
          <w:lang w:val="en-US" w:eastAsia="zh-CN"/>
        </w:rPr>
      </w:pPr>
      <w:bookmarkStart w:id="489" w:name="_Toc6056"/>
      <w:bookmarkStart w:id="490" w:name="_Toc2574"/>
      <w:bookmarkStart w:id="491" w:name="_Toc1367156198"/>
      <w:bookmarkStart w:id="492" w:name="_Toc32142"/>
      <w:bookmarkStart w:id="493" w:name="_Toc2051694868"/>
      <w:r>
        <w:rPr>
          <w:rFonts w:hint="eastAsia" w:ascii="仿宋_GB2312" w:hAnsi="仿宋_GB2312" w:eastAsia="仿宋_GB2312" w:cs="仿宋_GB2312"/>
          <w:b/>
          <w:bCs w:val="0"/>
          <w:i w:val="0"/>
          <w:spacing w:val="0"/>
          <w:w w:val="100"/>
          <w:sz w:val="32"/>
          <w:u w:val="none"/>
          <w:lang w:val="en-US" w:eastAsia="zh-CN"/>
        </w:rPr>
        <w:t>活化利用历史文化基因</w:t>
      </w:r>
      <w:bookmarkEnd w:id="489"/>
      <w:r>
        <w:rPr>
          <w:rFonts w:hint="eastAsia" w:ascii="楷体_GB2312" w:hAnsi="楷体_GB2312" w:eastAsia="楷体_GB2312" w:cs="楷体_GB2312"/>
          <w:b/>
          <w:bCs w:val="0"/>
          <w:i w:val="0"/>
          <w:spacing w:val="0"/>
          <w:w w:val="100"/>
          <w:sz w:val="32"/>
          <w:u w:val="none"/>
          <w:lang w:val="en-US" w:eastAsia="zh-CN"/>
        </w:rPr>
        <w:t>。</w:t>
      </w:r>
      <w:r>
        <w:rPr>
          <w:rFonts w:hint="eastAsia" w:ascii="仿宋_GB2312" w:hAnsi="仿宋_GB2312" w:eastAsia="仿宋_GB2312" w:cs="仿宋_GB2312"/>
          <w:b w:val="0"/>
          <w:bCs/>
          <w:i w:val="0"/>
          <w:spacing w:val="0"/>
          <w:w w:val="100"/>
          <w:sz w:val="32"/>
          <w:u w:val="none"/>
          <w:lang w:val="en-US" w:eastAsia="zh-CN"/>
        </w:rPr>
        <w:t>保护好、挖掘好、运用好“最江南”文化特质，立体式打造城市核心文化IP。加强古镇群落资源和旅游资源联合开发，推进同里、黎里、震泽等</w:t>
      </w:r>
      <w:r>
        <w:rPr>
          <w:rFonts w:hint="eastAsia" w:ascii="仿宋_GB2312" w:hAnsi="仿宋_GB2312" w:eastAsia="仿宋_GB2312" w:cs="仿宋_GB2312"/>
          <w:b w:val="0"/>
          <w:i w:val="0"/>
          <w:spacing w:val="0"/>
          <w:w w:val="100"/>
          <w:sz w:val="32"/>
          <w:u w:val="none"/>
          <w:lang w:val="en-US" w:eastAsia="zh-CN"/>
        </w:rPr>
        <w:t>江南水乡古镇联合申遗。加强丝绸文化传承利用，推动从传统到时尚、从文化到产业全链条开发，办好“丝韵江南”、苏州湾时尚趋势发布会等品牌活动。</w:t>
      </w:r>
      <w:r>
        <w:rPr>
          <w:rFonts w:hint="eastAsia" w:ascii="仿宋_GB2312" w:hAnsi="仿宋_GB2312" w:eastAsia="仿宋_GB2312" w:cs="仿宋_GB2312"/>
          <w:b w:val="0"/>
          <w:bCs/>
          <w:color w:val="auto"/>
          <w:spacing w:val="0"/>
          <w:sz w:val="32"/>
          <w:highlight w:val="none"/>
          <w:lang w:val="en-US" w:eastAsia="zh-CN"/>
        </w:rPr>
        <w:t>系统梳理提炼吴江水文化，深入挖掘大运河、太湖等承载的深厚文化价值和精神内涵，</w:t>
      </w:r>
      <w:r>
        <w:rPr>
          <w:rFonts w:hint="eastAsia" w:ascii="仿宋_GB2312" w:hAnsi="仿宋_GB2312" w:eastAsia="仿宋_GB2312" w:cs="仿宋_GB2312"/>
          <w:b w:val="0"/>
          <w:i w:val="0"/>
          <w:spacing w:val="0"/>
          <w:w w:val="100"/>
          <w:sz w:val="32"/>
          <w:u w:val="none"/>
          <w:lang w:val="en-US" w:eastAsia="zh-CN"/>
        </w:rPr>
        <w:t>打造“莼鲈之思”美食文化等文化标识</w:t>
      </w:r>
      <w:r>
        <w:rPr>
          <w:rFonts w:hint="eastAsia" w:ascii="仿宋_GB2312" w:hAnsi="仿宋_GB2312" w:eastAsia="仿宋_GB2312" w:cs="仿宋_GB2312"/>
          <w:b w:val="0"/>
          <w:bCs/>
          <w:color w:val="auto"/>
          <w:spacing w:val="0"/>
          <w:sz w:val="32"/>
          <w:highlight w:val="none"/>
          <w:lang w:val="en-US" w:eastAsia="zh-CN"/>
        </w:rPr>
        <w:t>。</w:t>
      </w:r>
    </w:p>
    <w:p w14:paraId="714A3F33">
      <w:pPr>
        <w:keepNext w:val="0"/>
        <w:keepLines w:val="0"/>
        <w:pageBreakBefore w:val="0"/>
        <w:widowControl w:val="0"/>
        <w:kinsoku/>
        <w:wordWrap/>
        <w:overflowPunct w:val="0"/>
        <w:topLinePunct/>
        <w:autoSpaceDE/>
        <w:autoSpaceDN/>
        <w:bidi w:val="0"/>
        <w:adjustRightInd/>
        <w:snapToGrid/>
        <w:spacing w:beforeAutospacing="0" w:afterAutospacing="0" w:line="560" w:lineRule="exact"/>
        <w:ind w:left="0" w:leftChars="0" w:right="0" w:rightChars="0" w:firstLine="643" w:firstLineChars="200"/>
        <w:jc w:val="both"/>
        <w:textAlignment w:val="auto"/>
        <w:outlineLvl w:val="1"/>
        <w:rPr>
          <w:rFonts w:hint="default" w:ascii="仿宋_GB2312" w:hAnsi="仿宋_GB2312" w:eastAsia="仿宋_GB2312" w:cs="仿宋_GB2312"/>
          <w:b w:val="0"/>
          <w:i w:val="0"/>
          <w:spacing w:val="0"/>
          <w:w w:val="100"/>
          <w:sz w:val="36"/>
          <w:szCs w:val="36"/>
          <w:u w:val="none"/>
          <w:lang w:val="en-US" w:eastAsia="zh-CN"/>
        </w:rPr>
      </w:pPr>
      <w:bookmarkStart w:id="494" w:name="_Toc27863"/>
      <w:r>
        <w:rPr>
          <w:rFonts w:hint="eastAsia" w:ascii="仿宋_GB2312" w:hAnsi="仿宋_GB2312" w:eastAsia="仿宋_GB2312" w:cs="仿宋_GB2312"/>
          <w:b/>
          <w:i w:val="0"/>
          <w:spacing w:val="0"/>
          <w:w w:val="100"/>
          <w:sz w:val="32"/>
          <w:u w:val="none"/>
          <w:lang w:val="en-US" w:eastAsia="zh-CN"/>
        </w:rPr>
        <w:t>系统保护传承历史文化遗产</w:t>
      </w:r>
      <w:r>
        <w:rPr>
          <w:rFonts w:hint="eastAsia" w:ascii="楷体_GB2312" w:hAnsi="楷体_GB2312" w:eastAsia="楷体_GB2312" w:cs="楷体_GB2312"/>
          <w:b/>
          <w:bCs/>
          <w:i w:val="0"/>
          <w:spacing w:val="0"/>
          <w:w w:val="100"/>
          <w:sz w:val="32"/>
          <w:u w:val="none"/>
          <w:lang w:val="en-US" w:eastAsia="zh-CN"/>
        </w:rPr>
        <w:t>。</w:t>
      </w:r>
      <w:r>
        <w:rPr>
          <w:rFonts w:hint="eastAsia" w:ascii="仿宋_GB2312" w:hAnsi="仿宋_GB2312" w:eastAsia="仿宋_GB2312" w:cs="仿宋_GB2312"/>
          <w:b w:val="0"/>
          <w:bCs/>
          <w:i w:val="0"/>
          <w:spacing w:val="0"/>
          <w:w w:val="100"/>
          <w:sz w:val="32"/>
          <w:u w:val="none"/>
          <w:lang w:val="en-US" w:eastAsia="zh-CN"/>
        </w:rPr>
        <w:t>统筹协调各类物质、非物质文化遗产的整体保护和活化利用，</w:t>
      </w:r>
      <w:r>
        <w:rPr>
          <w:rFonts w:hint="eastAsia" w:ascii="仿宋_GB2312" w:hAnsi="仿宋_GB2312" w:eastAsia="仿宋_GB2312" w:cs="仿宋_GB2312"/>
          <w:b w:val="0"/>
          <w:i w:val="0"/>
          <w:spacing w:val="0"/>
          <w:w w:val="100"/>
          <w:sz w:val="32"/>
          <w:u w:val="none"/>
          <w:lang w:val="en-US" w:eastAsia="zh-CN"/>
        </w:rPr>
        <w:t>健全社会参与、激励机制，引导社会力量广泛参与。配合做好文化遗产保护督查工作，推动文化遗产系统性保护和统一监管。加强智慧数字文保建设，健全省级以上文保单位监管体系。发挥历史名人效应，深挖历史名人故事，加强古建老宅、名人故居保护利用。加强非物质文化遗产区域性整体保护，维护和培育文化生态，推动传统非遗振兴发展。</w:t>
      </w:r>
      <w:bookmarkEnd w:id="494"/>
    </w:p>
    <w:bookmarkEnd w:id="490"/>
    <w:bookmarkEnd w:id="491"/>
    <w:bookmarkEnd w:id="492"/>
    <w:bookmarkEnd w:id="493"/>
    <w:p w14:paraId="597E6A64">
      <w:pPr>
        <w:keepNext w:val="0"/>
        <w:keepLines w:val="0"/>
        <w:pageBreakBefore w:val="0"/>
        <w:widowControl w:val="0"/>
        <w:kinsoku/>
        <w:wordWrap/>
        <w:overflowPunct w:val="0"/>
        <w:topLinePunct/>
        <w:autoSpaceDE/>
        <w:autoSpaceDN/>
        <w:bidi w:val="0"/>
        <w:adjustRightInd/>
        <w:snapToGrid w:val="0"/>
        <w:spacing w:line="560" w:lineRule="exact"/>
        <w:ind w:firstLine="643" w:firstLineChars="200"/>
        <w:textAlignment w:val="auto"/>
        <w:rPr>
          <w:rFonts w:hint="eastAsia" w:ascii="仿宋_GB2312" w:hAnsi="仿宋_GB2312" w:eastAsia="仿宋_GB2312" w:cs="仿宋_GB2312"/>
          <w:bCs/>
          <w:kern w:val="21"/>
          <w:sz w:val="32"/>
          <w:szCs w:val="32"/>
        </w:rPr>
      </w:pPr>
      <w:bookmarkStart w:id="495" w:name="_Toc26549"/>
      <w:bookmarkStart w:id="496" w:name="_Toc1985152056"/>
      <w:bookmarkStart w:id="497" w:name="_Toc15213"/>
      <w:bookmarkStart w:id="498" w:name="_Toc1056952025"/>
      <w:bookmarkStart w:id="499" w:name="_Toc8090"/>
      <w:r>
        <w:rPr>
          <w:rStyle w:val="46"/>
          <w:rFonts w:hint="eastAsia" w:ascii="仿宋_GB2312" w:hAnsi="仿宋_GB2312" w:eastAsia="仿宋_GB2312" w:cs="Times New Roman"/>
          <w:b/>
          <w:bCs/>
          <w:kern w:val="21"/>
          <w:sz w:val="32"/>
        </w:rPr>
        <w:t>繁荣发展文体事业</w:t>
      </w:r>
      <w:bookmarkEnd w:id="495"/>
      <w:bookmarkEnd w:id="496"/>
      <w:bookmarkEnd w:id="497"/>
      <w:bookmarkEnd w:id="498"/>
      <w:bookmarkEnd w:id="499"/>
      <w:r>
        <w:rPr>
          <w:rFonts w:hint="eastAsia" w:ascii="仿宋_GB2312" w:hAnsi="仿宋_GB2312" w:eastAsia="仿宋_GB2312" w:cs="仿宋_GB2312"/>
          <w:b/>
          <w:bCs/>
          <w:kern w:val="21"/>
          <w:sz w:val="32"/>
        </w:rPr>
        <w:t>。</w:t>
      </w:r>
      <w:r>
        <w:rPr>
          <w:rFonts w:hint="eastAsia" w:ascii="仿宋_GB2312" w:hAnsi="仿宋_GB2312" w:eastAsia="仿宋_GB2312" w:cs="仿宋_GB2312"/>
          <w:color w:val="auto"/>
          <w:sz w:val="32"/>
          <w:szCs w:val="32"/>
          <w:highlight w:val="none"/>
          <w:lang w:val="en-US" w:eastAsia="zh-CN"/>
        </w:rPr>
        <w:t>健全</w:t>
      </w:r>
      <w:r>
        <w:rPr>
          <w:rFonts w:hint="eastAsia" w:ascii="仿宋_GB2312" w:hAnsi="仿宋_GB2312" w:eastAsia="仿宋_GB2312" w:cs="仿宋_GB2312"/>
          <w:color w:val="auto"/>
          <w:sz w:val="32"/>
          <w:szCs w:val="32"/>
          <w:highlight w:val="none"/>
          <w:lang w:eastAsia="zh-CN"/>
        </w:rPr>
        <w:t>优质文化资源直达基层机制，</w:t>
      </w:r>
      <w:r>
        <w:rPr>
          <w:rFonts w:hint="eastAsia" w:ascii="仿宋_GB2312" w:hAnsi="仿宋_GB2312" w:eastAsia="仿宋_GB2312" w:cs="仿宋_GB2312"/>
          <w:bCs/>
          <w:kern w:val="21"/>
          <w:sz w:val="32"/>
          <w:szCs w:val="32"/>
        </w:rPr>
        <w:t>坚持城乡公共文化服务规划同向、服务同标，完善公共文化服务机制</w:t>
      </w:r>
      <w:r>
        <w:rPr>
          <w:rFonts w:hint="eastAsia" w:ascii="仿宋_GB2312" w:hAnsi="仿宋_GB2312" w:eastAsia="仿宋_GB2312" w:cs="仿宋_GB2312"/>
          <w:bCs/>
          <w:kern w:val="21"/>
          <w:sz w:val="32"/>
          <w:szCs w:val="32"/>
          <w:lang w:eastAsia="zh-CN"/>
        </w:rPr>
        <w:t>，推动公共文化提质增效</w:t>
      </w:r>
      <w:r>
        <w:rPr>
          <w:rFonts w:hint="eastAsia" w:ascii="仿宋_GB2312" w:hAnsi="仿宋_GB2312" w:eastAsia="仿宋_GB2312" w:cs="仿宋_GB2312"/>
          <w:bCs/>
          <w:kern w:val="21"/>
          <w:sz w:val="32"/>
          <w:szCs w:val="32"/>
        </w:rPr>
        <w:t>。</w:t>
      </w:r>
      <w:r>
        <w:rPr>
          <w:rFonts w:hint="eastAsia" w:ascii="仿宋_GB2312" w:hAnsi="仿宋_GB2312" w:eastAsia="仿宋_GB2312" w:cs="仿宋_GB2312"/>
          <w:bCs/>
          <w:kern w:val="21"/>
          <w:sz w:val="32"/>
          <w:szCs w:val="32"/>
          <w:lang w:val="en-US" w:eastAsia="zh-CN"/>
        </w:rPr>
        <w:t>整合激活阵地资源，推动文化场馆融合发展，加速文化基础设施向文化综合体转变，</w:t>
      </w:r>
      <w:r>
        <w:rPr>
          <w:rFonts w:hint="eastAsia" w:ascii="仿宋_GB2312" w:hAnsi="仿宋_GB2312" w:eastAsia="仿宋_GB2312" w:cs="仿宋_GB2312"/>
          <w:bCs/>
          <w:kern w:val="21"/>
          <w:sz w:val="32"/>
          <w:szCs w:val="32"/>
        </w:rPr>
        <w:t>高水平</w:t>
      </w:r>
      <w:r>
        <w:rPr>
          <w:rFonts w:hint="eastAsia" w:ascii="仿宋_GB2312" w:hAnsi="仿宋_GB2312" w:eastAsia="仿宋_GB2312" w:cs="仿宋_GB2312"/>
          <w:bCs/>
          <w:kern w:val="21"/>
          <w:sz w:val="32"/>
          <w:szCs w:val="32"/>
          <w:lang w:val="en-US" w:eastAsia="zh-CN"/>
        </w:rPr>
        <w:t>运营苏州湾文化中心等</w:t>
      </w:r>
      <w:r>
        <w:rPr>
          <w:rFonts w:hint="eastAsia" w:ascii="仿宋_GB2312" w:hAnsi="仿宋_GB2312" w:eastAsia="仿宋_GB2312" w:cs="仿宋_GB2312"/>
          <w:bCs/>
          <w:kern w:val="21"/>
          <w:sz w:val="32"/>
          <w:szCs w:val="32"/>
        </w:rPr>
        <w:t>文化新地标</w:t>
      </w:r>
      <w:r>
        <w:rPr>
          <w:rFonts w:hint="eastAsia" w:ascii="仿宋_GB2312" w:hAnsi="仿宋_GB2312" w:eastAsia="仿宋_GB2312" w:cs="仿宋_GB2312"/>
          <w:bCs/>
          <w:kern w:val="21"/>
          <w:sz w:val="32"/>
          <w:szCs w:val="32"/>
          <w:lang w:eastAsia="zh-CN"/>
        </w:rPr>
        <w:t>，</w:t>
      </w:r>
      <w:r>
        <w:rPr>
          <w:rFonts w:hint="eastAsia" w:ascii="仿宋_GB2312" w:hAnsi="仿宋_GB2312" w:eastAsia="仿宋_GB2312" w:cs="仿宋_GB2312"/>
          <w:bCs/>
          <w:kern w:val="21"/>
          <w:sz w:val="32"/>
          <w:szCs w:val="32"/>
        </w:rPr>
        <w:t>打造15分钟文化圈</w:t>
      </w:r>
      <w:r>
        <w:rPr>
          <w:rFonts w:hint="eastAsia" w:ascii="仿宋_GB2312" w:hAnsi="仿宋_GB2312" w:eastAsia="仿宋_GB2312" w:cs="仿宋_GB2312"/>
          <w:bCs/>
          <w:kern w:val="21"/>
          <w:sz w:val="32"/>
          <w:szCs w:val="32"/>
          <w:lang w:eastAsia="zh-CN"/>
        </w:rPr>
        <w:t>。</w:t>
      </w:r>
      <w:r>
        <w:rPr>
          <w:rFonts w:hint="eastAsia" w:ascii="仿宋_GB2312" w:hAnsi="仿宋_GB2312" w:eastAsia="仿宋_GB2312" w:cs="仿宋_GB2312"/>
          <w:bCs/>
          <w:kern w:val="21"/>
          <w:sz w:val="32"/>
          <w:szCs w:val="32"/>
          <w:lang w:val="en-US" w:eastAsia="zh-CN"/>
        </w:rPr>
        <w:t>加强</w:t>
      </w:r>
      <w:r>
        <w:rPr>
          <w:rFonts w:hint="eastAsia" w:ascii="仿宋_GB2312" w:hAnsi="仿宋_GB2312" w:eastAsia="仿宋_GB2312" w:cs="仿宋_GB2312"/>
          <w:spacing w:val="0"/>
          <w:sz w:val="32"/>
          <w:szCs w:val="32"/>
          <w:lang w:val="en-US" w:eastAsia="zh-CN"/>
        </w:rPr>
        <w:t>区域文化联动，实施文化惠民工程，</w:t>
      </w:r>
      <w:r>
        <w:rPr>
          <w:rFonts w:hint="eastAsia" w:ascii="仿宋_GB2312" w:hAnsi="仿宋_GB2312" w:eastAsia="仿宋_GB2312" w:cs="仿宋_GB2312"/>
          <w:bCs/>
          <w:kern w:val="21"/>
          <w:sz w:val="32"/>
          <w:szCs w:val="32"/>
        </w:rPr>
        <w:t>做优“民星闪耀”“四季村晚”“茉莉花开”等群众文化品牌，有序发展网络文学、微短剧等新大众文艺</w:t>
      </w:r>
      <w:r>
        <w:rPr>
          <w:rFonts w:hint="eastAsia" w:ascii="仿宋_GB2312" w:hAnsi="仿宋_GB2312" w:eastAsia="仿宋_GB2312" w:cs="仿宋_GB2312"/>
          <w:bCs/>
          <w:kern w:val="21"/>
          <w:sz w:val="32"/>
          <w:szCs w:val="32"/>
          <w:lang w:eastAsia="zh-CN"/>
        </w:rPr>
        <w:t>。</w:t>
      </w:r>
      <w:r>
        <w:rPr>
          <w:rFonts w:hint="eastAsia" w:ascii="仿宋_GB2312" w:hAnsi="仿宋_GB2312" w:eastAsia="仿宋_GB2312" w:cs="仿宋_GB2312"/>
          <w:bCs/>
          <w:kern w:val="21"/>
          <w:sz w:val="32"/>
          <w:szCs w:val="32"/>
        </w:rPr>
        <w:t>促进全民阅读，大力推进书香城市建设。</w:t>
      </w:r>
      <w:r>
        <w:rPr>
          <w:rFonts w:hint="eastAsia" w:ascii="仿宋_GB2312" w:hAnsi="仿宋_GB2312" w:eastAsia="仿宋_GB2312" w:cs="仿宋_GB2312"/>
          <w:color w:val="auto"/>
          <w:sz w:val="32"/>
          <w:szCs w:val="32"/>
          <w:highlight w:val="none"/>
          <w:lang w:val="en-US" w:eastAsia="zh-CN"/>
        </w:rPr>
        <w:t>建立全周期文艺精品创作服务机制，提升文化原创能力，加大文艺精品创作生产和文化人才培育力度。</w:t>
      </w:r>
      <w:r>
        <w:rPr>
          <w:rFonts w:hint="eastAsia" w:ascii="仿宋_GB2312" w:hAnsi="仿宋_GB2312" w:eastAsia="仿宋_GB2312" w:cs="仿宋_GB2312"/>
          <w:b w:val="0"/>
          <w:i w:val="0"/>
          <w:spacing w:val="0"/>
          <w:w w:val="100"/>
          <w:sz w:val="32"/>
          <w:u w:val="none"/>
          <w:lang w:val="en-US" w:eastAsia="zh-CN"/>
        </w:rPr>
        <w:t>发挥群众主体作用，</w:t>
      </w:r>
      <w:r>
        <w:rPr>
          <w:rFonts w:hint="eastAsia" w:ascii="仿宋_GB2312" w:hAnsi="仿宋_GB2312" w:eastAsia="仿宋_GB2312" w:cs="仿宋_GB2312"/>
          <w:color w:val="auto"/>
          <w:sz w:val="32"/>
          <w:szCs w:val="32"/>
          <w:highlight w:val="none"/>
          <w:lang w:val="en-US" w:eastAsia="zh-CN"/>
        </w:rPr>
        <w:t>加强基层群众文艺人才和文艺团队建设</w:t>
      </w:r>
      <w:r>
        <w:rPr>
          <w:rFonts w:hint="eastAsia" w:ascii="仿宋_GB2312" w:hAnsi="仿宋_GB2312" w:eastAsia="仿宋_GB2312" w:cs="仿宋_GB2312"/>
          <w:b w:val="0"/>
          <w:i w:val="0"/>
          <w:spacing w:val="0"/>
          <w:w w:val="100"/>
          <w:sz w:val="32"/>
          <w:u w:val="none"/>
          <w:lang w:eastAsia="zh-CN"/>
        </w:rPr>
        <w:t>。</w:t>
      </w:r>
      <w:r>
        <w:rPr>
          <w:rFonts w:hint="eastAsia" w:ascii="仿宋_GB2312" w:hAnsi="仿宋_GB2312" w:eastAsia="仿宋_GB2312" w:cs="仿宋_GB2312"/>
          <w:bCs/>
          <w:kern w:val="21"/>
          <w:sz w:val="32"/>
          <w:szCs w:val="32"/>
        </w:rPr>
        <w:t>推进足球改革发展工作，广泛开展全民健身运动，丰富全民健身设施供给，促进群众体育和竞技体育协调发展。办好环太湖国际公路自行车赛、</w:t>
      </w:r>
      <w:r>
        <w:rPr>
          <w:rFonts w:hint="eastAsia" w:ascii="仿宋_GB2312" w:hAnsi="仿宋_GB2312" w:eastAsia="仿宋_GB2312" w:cs="仿宋_GB2312"/>
          <w:bCs/>
          <w:kern w:val="21"/>
          <w:sz w:val="32"/>
          <w:szCs w:val="32"/>
          <w:lang w:val="en-US" w:eastAsia="zh-CN"/>
        </w:rPr>
        <w:t>汾湖国际攀联世界杯攀岩赛</w:t>
      </w:r>
      <w:r>
        <w:rPr>
          <w:rFonts w:hint="eastAsia" w:ascii="仿宋_GB2312" w:hAnsi="仿宋_GB2312" w:eastAsia="仿宋_GB2312" w:cs="仿宋_GB2312"/>
          <w:bCs/>
          <w:kern w:val="21"/>
          <w:sz w:val="32"/>
          <w:szCs w:val="32"/>
        </w:rPr>
        <w:t>等品牌活动。</w:t>
      </w:r>
    </w:p>
    <w:p w14:paraId="1AD543E1">
      <w:pPr>
        <w:keepNext w:val="0"/>
        <w:keepLines w:val="0"/>
        <w:pageBreakBefore w:val="0"/>
        <w:widowControl w:val="0"/>
        <w:kinsoku/>
        <w:wordWrap/>
        <w:overflowPunct w:val="0"/>
        <w:topLinePunct/>
        <w:autoSpaceDE/>
        <w:autoSpaceDN/>
        <w:bidi w:val="0"/>
        <w:adjustRightInd/>
        <w:snapToGrid w:val="0"/>
        <w:spacing w:line="560" w:lineRule="exact"/>
        <w:ind w:firstLine="643" w:firstLineChars="200"/>
        <w:textAlignment w:val="auto"/>
        <w:rPr>
          <w:rFonts w:hint="eastAsia" w:ascii="仿宋_GB2312" w:hAnsi="仿宋_GB2312" w:eastAsia="仿宋_GB2312" w:cs="仿宋_GB2312"/>
          <w:b w:val="0"/>
          <w:bCs/>
          <w:i w:val="0"/>
          <w:spacing w:val="0"/>
          <w:w w:val="100"/>
          <w:sz w:val="32"/>
          <w:u w:val="none"/>
          <w:lang w:val="en-US" w:eastAsia="zh-CN"/>
        </w:rPr>
      </w:pPr>
      <w:bookmarkStart w:id="500" w:name="_Toc1315658784"/>
      <w:bookmarkStart w:id="501" w:name="_Toc1119"/>
      <w:bookmarkStart w:id="502" w:name="_Toc18311"/>
      <w:bookmarkStart w:id="503" w:name="_Toc1951439445"/>
      <w:bookmarkStart w:id="504" w:name="_Toc30314"/>
      <w:r>
        <w:rPr>
          <w:rStyle w:val="46"/>
          <w:rFonts w:hint="eastAsia" w:ascii="仿宋_GB2312" w:hAnsi="仿宋_GB2312" w:eastAsia="仿宋_GB2312" w:cs="Times New Roman"/>
          <w:b/>
          <w:bCs/>
          <w:kern w:val="21"/>
          <w:sz w:val="32"/>
        </w:rPr>
        <w:t>激发文化产业动能。</w:t>
      </w:r>
      <w:bookmarkEnd w:id="500"/>
      <w:bookmarkEnd w:id="501"/>
      <w:bookmarkEnd w:id="502"/>
      <w:bookmarkEnd w:id="503"/>
      <w:bookmarkEnd w:id="504"/>
      <w:r>
        <w:rPr>
          <w:rFonts w:hint="eastAsia" w:ascii="仿宋_GB2312" w:hAnsi="仿宋_GB2312" w:eastAsia="仿宋_GB2312" w:cs="仿宋_GB2312"/>
          <w:color w:val="auto"/>
          <w:sz w:val="32"/>
          <w:szCs w:val="32"/>
          <w:highlight w:val="none"/>
          <w:lang w:val="en-US" w:eastAsia="zh-CN"/>
        </w:rPr>
        <w:t>深入实施重大文化产业项目带动战略，培育优秀文化企业和品牌，拓展</w:t>
      </w:r>
      <w:r>
        <w:rPr>
          <w:rFonts w:hint="eastAsia" w:ascii="仿宋_GB2312" w:hAnsi="仿宋_GB2312" w:eastAsia="仿宋_GB2312" w:cs="仿宋_GB2312"/>
          <w:b w:val="0"/>
          <w:bCs/>
          <w:i w:val="0"/>
          <w:spacing w:val="0"/>
          <w:w w:val="100"/>
          <w:sz w:val="32"/>
          <w:u w:val="none"/>
          <w:lang w:val="en-US" w:eastAsia="zh-CN"/>
        </w:rPr>
        <w:t>创意设计、文旅融合、影视娱乐等重点领域，推动重点文化产业园区因地制宜发展，形成“一园一品”格局，打造具有吴江文化特质的现代文化产业体系。大力实施文化数字化战略，推动纹样、文博数字资源向文化创意、文化终端产品转化，打造“苏样纹雅”“吴地纹华”品牌，健全数字版权的确权、登记、交易保护机制。推进文化与科技相互赋能，支持运用人工智能等新技术，发展数字娱乐、沉浸体验等新型文化业态。推动文商体旅农展深度融合，</w:t>
      </w:r>
      <w:r>
        <w:rPr>
          <w:rFonts w:hint="eastAsia" w:ascii="仿宋_GB2312" w:hAnsi="仿宋_GB2312" w:eastAsia="仿宋_GB2312" w:cs="仿宋_GB2312"/>
          <w:b w:val="0"/>
          <w:i w:val="0"/>
          <w:spacing w:val="0"/>
          <w:w w:val="100"/>
          <w:sz w:val="32"/>
          <w:u w:val="none"/>
          <w:lang w:val="en-US" w:eastAsia="zh-CN"/>
        </w:rPr>
        <w:t>加快挖掘整合丝绸、太湖、古镇、运河等丰富文旅资源，有机串联“衣食住行”本土特色，打造“欢聚吴江”“垂虹别意”吴江特色文旅品牌。加强与上海文旅协同共建，</w:t>
      </w:r>
      <w:r>
        <w:rPr>
          <w:rFonts w:hint="eastAsia" w:ascii="仿宋_GB2312" w:hAnsi="仿宋_GB2312" w:eastAsia="仿宋_GB2312" w:cs="仿宋_GB2312"/>
          <w:b w:val="0"/>
          <w:bCs/>
          <w:i w:val="0"/>
          <w:spacing w:val="0"/>
          <w:w w:val="100"/>
          <w:sz w:val="32"/>
          <w:u w:val="none"/>
          <w:lang w:val="en-US" w:eastAsia="zh-CN"/>
        </w:rPr>
        <w:t>充分发挥文旅产业提振消费、推动产业升级、塑造城市品牌作用</w:t>
      </w:r>
      <w:r>
        <w:rPr>
          <w:rFonts w:hint="eastAsia" w:ascii="仿宋_GB2312" w:hAnsi="仿宋_GB2312" w:eastAsia="仿宋_GB2312" w:cs="仿宋_GB2312"/>
          <w:b w:val="0"/>
          <w:i w:val="0"/>
          <w:spacing w:val="0"/>
          <w:w w:val="100"/>
          <w:sz w:val="32"/>
          <w:u w:val="none"/>
          <w:lang w:eastAsia="zh-CN"/>
        </w:rPr>
        <w:t>，</w:t>
      </w:r>
      <w:r>
        <w:rPr>
          <w:rFonts w:hint="eastAsia" w:ascii="仿宋_GB2312" w:hAnsi="仿宋_GB2312" w:eastAsia="仿宋_GB2312" w:cs="仿宋_GB2312"/>
          <w:b w:val="0"/>
          <w:i w:val="0"/>
          <w:spacing w:val="0"/>
          <w:w w:val="100"/>
          <w:sz w:val="32"/>
          <w:u w:val="none"/>
          <w:lang w:val="en-US" w:eastAsia="zh-CN"/>
        </w:rPr>
        <w:t>以“高铁+旅游”创新文旅产品业态与推广</w:t>
      </w:r>
      <w:r>
        <w:rPr>
          <w:rFonts w:hint="eastAsia" w:ascii="仿宋_GB2312" w:hAnsi="仿宋_GB2312" w:eastAsia="仿宋_GB2312" w:cs="仿宋_GB2312"/>
          <w:b w:val="0"/>
          <w:i w:val="0"/>
          <w:spacing w:val="0"/>
          <w:w w:val="100"/>
          <w:sz w:val="32"/>
          <w:u w:val="none"/>
          <w:lang w:eastAsia="zh-CN"/>
        </w:rPr>
        <w:t>，</w:t>
      </w:r>
      <w:r>
        <w:rPr>
          <w:rFonts w:hint="eastAsia" w:ascii="仿宋_GB2312" w:hAnsi="仿宋_GB2312" w:eastAsia="仿宋_GB2312" w:cs="仿宋_GB2312"/>
          <w:color w:val="000000"/>
          <w:sz w:val="32"/>
          <w:szCs w:val="32"/>
          <w:highlight w:val="none"/>
          <w:lang w:val="en-US" w:eastAsia="zh-CN"/>
        </w:rPr>
        <w:t>融入全市打造世界级知名旅游目的地</w:t>
      </w:r>
      <w:r>
        <w:rPr>
          <w:rFonts w:hint="eastAsia" w:ascii="仿宋_GB2312" w:hAnsi="仿宋_GB2312" w:eastAsia="仿宋_GB2312" w:cs="仿宋_GB2312"/>
          <w:b w:val="0"/>
          <w:i w:val="0"/>
          <w:spacing w:val="0"/>
          <w:w w:val="100"/>
          <w:sz w:val="32"/>
          <w:u w:val="none"/>
          <w:lang w:val="en-US" w:eastAsia="zh-CN"/>
        </w:rPr>
        <w:t>。持续提升东太湖国家级生态旅游度假区建设水平。完善高质量旅游公共服务体系，优化入境旅游便利化措施。</w:t>
      </w:r>
      <w:r>
        <w:rPr>
          <w:rFonts w:hint="eastAsia" w:ascii="仿宋_GB2312" w:hAnsi="仿宋_GB2312" w:eastAsia="仿宋_GB2312" w:cs="仿宋_GB2312"/>
          <w:kern w:val="21"/>
          <w:sz w:val="32"/>
          <w:szCs w:val="32"/>
          <w:lang w:val="en-US" w:eastAsia="zh-CN"/>
        </w:rPr>
        <w:t>到2030年，旅游总收入达350亿元。</w:t>
      </w:r>
    </w:p>
    <w:p w14:paraId="67468FAA">
      <w:pPr>
        <w:keepNext w:val="0"/>
        <w:keepLines w:val="0"/>
        <w:pageBreakBefore w:val="0"/>
        <w:widowControl w:val="0"/>
        <w:kinsoku/>
        <w:wordWrap/>
        <w:overflowPunct w:val="0"/>
        <w:topLinePunct/>
        <w:autoSpaceDE/>
        <w:autoSpaceDN/>
        <w:bidi w:val="0"/>
        <w:adjustRightInd/>
        <w:snapToGrid w:val="0"/>
        <w:spacing w:line="560" w:lineRule="exact"/>
        <w:ind w:firstLine="643" w:firstLineChars="200"/>
        <w:textAlignment w:val="auto"/>
        <w:rPr>
          <w:rFonts w:hint="default" w:ascii="仿宋_GB2312" w:hAnsi="仿宋_GB2312" w:eastAsia="仿宋_GB2312" w:cs="仿宋_GB2312"/>
          <w:b/>
          <w:bCs/>
          <w:kern w:val="21"/>
          <w:sz w:val="32"/>
          <w:lang w:val="en-US" w:eastAsia="zh-CN"/>
        </w:rPr>
      </w:pPr>
    </w:p>
    <w:p w14:paraId="2913EFD8">
      <w:pPr>
        <w:pStyle w:val="2"/>
        <w:overflowPunct w:val="0"/>
        <w:topLinePunct/>
        <w:spacing w:line="560" w:lineRule="exact"/>
        <w:rPr>
          <w:rFonts w:hint="eastAsia"/>
          <w:kern w:val="21"/>
        </w:rPr>
        <w:sectPr>
          <w:pgSz w:w="11906" w:h="16838"/>
          <w:pgMar w:top="1928" w:right="1531" w:bottom="1701" w:left="1531" w:header="0" w:footer="992" w:gutter="0"/>
          <w:pgNumType w:fmt="decimal"/>
          <w:cols w:space="0" w:num="1"/>
          <w:rtlGutter w:val="0"/>
          <w:docGrid w:type="lines" w:linePitch="312" w:charSpace="0"/>
        </w:sectPr>
      </w:pPr>
    </w:p>
    <w:p w14:paraId="43CC3F19">
      <w:pPr>
        <w:pStyle w:val="2"/>
        <w:keepNext w:val="0"/>
        <w:keepLines w:val="0"/>
        <w:pageBreakBefore w:val="0"/>
        <w:kinsoku/>
        <w:wordWrap/>
        <w:overflowPunct w:val="0"/>
        <w:topLinePunct/>
        <w:autoSpaceDE/>
        <w:autoSpaceDN/>
        <w:bidi w:val="0"/>
        <w:adjustRightInd/>
        <w:spacing w:line="560" w:lineRule="exact"/>
        <w:textAlignment w:val="auto"/>
        <w:rPr>
          <w:rFonts w:hint="eastAsia" w:eastAsia="黑体"/>
          <w:spacing w:val="-17"/>
          <w:lang w:val="en-US" w:eastAsia="zh-CN"/>
        </w:rPr>
      </w:pPr>
      <w:bookmarkStart w:id="505" w:name="_Toc1017753920"/>
      <w:bookmarkStart w:id="506" w:name="_Toc14163"/>
      <w:bookmarkStart w:id="507" w:name="_Toc882727402"/>
      <w:bookmarkStart w:id="508" w:name="_Toc14270"/>
      <w:bookmarkStart w:id="509" w:name="_Toc27584"/>
      <w:r>
        <w:rPr>
          <w:rFonts w:hint="eastAsia"/>
          <w:spacing w:val="-17"/>
        </w:rPr>
        <w:t>第</w:t>
      </w:r>
      <w:r>
        <w:rPr>
          <w:rFonts w:hint="eastAsia"/>
          <w:spacing w:val="-17"/>
          <w:lang w:eastAsia="zh-CN"/>
        </w:rPr>
        <w:t>十一</w:t>
      </w:r>
      <w:r>
        <w:rPr>
          <w:rFonts w:hint="eastAsia"/>
          <w:spacing w:val="-17"/>
        </w:rPr>
        <w:t xml:space="preserve">章  </w:t>
      </w:r>
      <w:bookmarkEnd w:id="411"/>
      <w:bookmarkEnd w:id="412"/>
      <w:bookmarkEnd w:id="413"/>
      <w:bookmarkEnd w:id="414"/>
      <w:bookmarkEnd w:id="415"/>
      <w:bookmarkEnd w:id="505"/>
      <w:bookmarkEnd w:id="506"/>
      <w:bookmarkEnd w:id="507"/>
      <w:bookmarkEnd w:id="508"/>
      <w:bookmarkEnd w:id="509"/>
      <w:r>
        <w:rPr>
          <w:rFonts w:hint="eastAsia"/>
          <w:spacing w:val="-17"/>
          <w:lang w:eastAsia="zh-CN"/>
        </w:rPr>
        <w:t>在发展中保障和改善民生，更好满足人民对美好生活的向往</w:t>
      </w:r>
    </w:p>
    <w:p w14:paraId="5FC7CD16">
      <w:pPr>
        <w:keepNext w:val="0"/>
        <w:keepLines w:val="0"/>
        <w:pageBreakBefore w:val="0"/>
        <w:kinsoku/>
        <w:wordWrap/>
        <w:overflowPunct w:val="0"/>
        <w:topLinePunct/>
        <w:autoSpaceDE/>
        <w:autoSpaceDN/>
        <w:bidi w:val="0"/>
        <w:adjustRightInd/>
        <w:spacing w:line="560" w:lineRule="exact"/>
        <w:textAlignment w:val="auto"/>
        <w:rPr>
          <w:kern w:val="21"/>
        </w:rPr>
      </w:pPr>
    </w:p>
    <w:p w14:paraId="41702F31">
      <w:pPr>
        <w:keepNext w:val="0"/>
        <w:keepLines w:val="0"/>
        <w:pageBreakBefore w:val="0"/>
        <w:kinsoku/>
        <w:wordWrap/>
        <w:overflowPunct w:val="0"/>
        <w:topLinePunct/>
        <w:autoSpaceDE/>
        <w:autoSpaceDN/>
        <w:bidi w:val="0"/>
        <w:adjustRightInd/>
        <w:spacing w:line="560" w:lineRule="exact"/>
        <w:ind w:firstLine="640" w:firstLineChars="200"/>
        <w:textAlignment w:val="auto"/>
        <w:rPr>
          <w:rFonts w:ascii="Times New Roman" w:hAnsi="Times New Roman" w:eastAsia="黑体" w:cs="Times New Roman"/>
          <w:bCs/>
          <w:kern w:val="21"/>
          <w:sz w:val="32"/>
          <w:szCs w:val="32"/>
        </w:rPr>
      </w:pPr>
      <w:r>
        <w:rPr>
          <w:rFonts w:ascii="Times New Roman" w:hAnsi="Times New Roman" w:eastAsia="仿宋_GB2312" w:cs="Times New Roman"/>
          <w:kern w:val="21"/>
          <w:sz w:val="32"/>
          <w:szCs w:val="32"/>
          <w:lang w:bidi="ar"/>
        </w:rPr>
        <w:t>牢记为民宗旨，</w:t>
      </w:r>
      <w:r>
        <w:rPr>
          <w:rFonts w:hint="eastAsia" w:ascii="仿宋_GB2312" w:hAnsi="仿宋_GB2312" w:eastAsia="仿宋_GB2312" w:cs="仿宋_GB2312"/>
          <w:spacing w:val="0"/>
          <w:kern w:val="0"/>
          <w:sz w:val="32"/>
          <w:szCs w:val="32"/>
          <w:lang w:val="en-US" w:eastAsia="zh-CN"/>
        </w:rPr>
        <w:t>落实苏州民生共享优享工程，</w:t>
      </w:r>
      <w:r>
        <w:rPr>
          <w:rFonts w:hint="eastAsia" w:ascii="Times New Roman" w:hAnsi="Times New Roman" w:eastAsia="仿宋_GB2312" w:cs="Times New Roman"/>
          <w:kern w:val="21"/>
          <w:sz w:val="32"/>
          <w:szCs w:val="32"/>
          <w:lang w:bidi="ar"/>
        </w:rPr>
        <w:t>尽力而为、量力而行，</w:t>
      </w:r>
      <w:r>
        <w:rPr>
          <w:rFonts w:ascii="Times New Roman" w:hAnsi="Times New Roman" w:eastAsia="仿宋_GB2312" w:cs="Times New Roman"/>
          <w:kern w:val="21"/>
          <w:sz w:val="32"/>
          <w:szCs w:val="32"/>
          <w:lang w:bidi="ar"/>
        </w:rPr>
        <w:t>持续办好民生实事，</w:t>
      </w:r>
      <w:r>
        <w:rPr>
          <w:rFonts w:hint="eastAsia" w:ascii="Times New Roman" w:hAnsi="Times New Roman" w:eastAsia="仿宋_GB2312" w:cs="Times New Roman"/>
          <w:kern w:val="21"/>
          <w:sz w:val="32"/>
          <w:szCs w:val="32"/>
          <w:lang w:bidi="ar"/>
        </w:rPr>
        <w:t>推动社会全面进步与人的全面发展，让新时代鱼米之乡的发展成果更多更公平地惠及全区人民，绘就乐居</w:t>
      </w:r>
      <w:r>
        <w:rPr>
          <w:rFonts w:hint="eastAsia" w:ascii="Times New Roman" w:hAnsi="Times New Roman" w:eastAsia="仿宋_GB2312" w:cs="Times New Roman"/>
          <w:kern w:val="21"/>
          <w:sz w:val="32"/>
          <w:szCs w:val="32"/>
          <w:lang w:val="en-US" w:eastAsia="zh-CN" w:bidi="ar"/>
        </w:rPr>
        <w:t>吴江</w:t>
      </w:r>
      <w:r>
        <w:rPr>
          <w:rFonts w:hint="eastAsia" w:ascii="Times New Roman" w:hAnsi="Times New Roman" w:eastAsia="仿宋_GB2312" w:cs="Times New Roman"/>
          <w:kern w:val="21"/>
          <w:sz w:val="32"/>
          <w:szCs w:val="32"/>
          <w:lang w:bidi="ar"/>
        </w:rPr>
        <w:t>幸福图景。</w:t>
      </w:r>
    </w:p>
    <w:p w14:paraId="31B0D978">
      <w:pPr>
        <w:pStyle w:val="3"/>
        <w:keepNext w:val="0"/>
        <w:keepLines w:val="0"/>
        <w:pageBreakBefore w:val="0"/>
        <w:kinsoku/>
        <w:wordWrap/>
        <w:overflowPunct w:val="0"/>
        <w:topLinePunct/>
        <w:autoSpaceDE/>
        <w:autoSpaceDN/>
        <w:bidi w:val="0"/>
        <w:adjustRightInd/>
        <w:spacing w:before="156" w:after="156" w:line="560" w:lineRule="exact"/>
        <w:textAlignment w:val="auto"/>
        <w:rPr>
          <w:rFonts w:ascii="楷体_GB2312" w:hAnsi="楷体_GB2312" w:eastAsia="楷体_GB2312" w:cs="楷体_GB2312"/>
          <w:kern w:val="21"/>
        </w:rPr>
      </w:pPr>
      <w:bookmarkStart w:id="510" w:name="_Toc20163"/>
      <w:bookmarkStart w:id="511" w:name="_Toc4834"/>
      <w:bookmarkStart w:id="512" w:name="_Toc335946496"/>
      <w:bookmarkStart w:id="513" w:name="_Toc1344247324"/>
      <w:bookmarkStart w:id="514" w:name="_Toc16046"/>
      <w:bookmarkStart w:id="515" w:name="_Toc28484"/>
      <w:bookmarkStart w:id="516" w:name="_Toc789684109"/>
      <w:bookmarkStart w:id="517" w:name="_Toc20800"/>
      <w:bookmarkStart w:id="518" w:name="_Toc10202"/>
      <w:bookmarkStart w:id="519" w:name="_Toc30016"/>
      <w:r>
        <w:rPr>
          <w:rFonts w:ascii="楷体_GB2312" w:hAnsi="楷体_GB2312" w:eastAsia="楷体_GB2312" w:cs="楷体_GB2312"/>
          <w:kern w:val="21"/>
        </w:rPr>
        <w:t xml:space="preserve">第一节 </w:t>
      </w:r>
      <w:r>
        <w:rPr>
          <w:rFonts w:hint="eastAsia" w:ascii="楷体_GB2312" w:hAnsi="楷体_GB2312" w:eastAsia="楷体_GB2312" w:cs="楷体_GB2312"/>
          <w:kern w:val="21"/>
          <w:lang w:val="en-US" w:eastAsia="zh-CN"/>
        </w:rPr>
        <w:t xml:space="preserve"> </w:t>
      </w:r>
      <w:r>
        <w:rPr>
          <w:rFonts w:ascii="楷体_GB2312" w:hAnsi="楷体_GB2312" w:eastAsia="楷体_GB2312" w:cs="楷体_GB2312"/>
          <w:kern w:val="21"/>
        </w:rPr>
        <w:t>持续优化公共服务</w:t>
      </w:r>
      <w:bookmarkEnd w:id="510"/>
      <w:bookmarkEnd w:id="511"/>
      <w:bookmarkEnd w:id="512"/>
      <w:bookmarkEnd w:id="513"/>
      <w:bookmarkEnd w:id="514"/>
      <w:bookmarkEnd w:id="515"/>
      <w:bookmarkEnd w:id="516"/>
      <w:bookmarkEnd w:id="517"/>
      <w:bookmarkEnd w:id="518"/>
      <w:bookmarkEnd w:id="519"/>
    </w:p>
    <w:p w14:paraId="78D63742">
      <w:pPr>
        <w:keepNext w:val="0"/>
        <w:keepLines w:val="0"/>
        <w:pageBreakBefore w:val="0"/>
        <w:kinsoku/>
        <w:wordWrap/>
        <w:overflowPunct w:val="0"/>
        <w:topLinePunct/>
        <w:autoSpaceDE/>
        <w:autoSpaceDN/>
        <w:bidi w:val="0"/>
        <w:adjustRightInd/>
        <w:spacing w:line="560" w:lineRule="exact"/>
        <w:ind w:firstLine="640" w:firstLineChars="200"/>
        <w:textAlignment w:val="auto"/>
        <w:rPr>
          <w:rFonts w:hint="eastAsia" w:ascii="仿宋_GB2312" w:hAnsi="仿宋_GB2312" w:eastAsia="仿宋_GB2312" w:cs="仿宋_GB2312"/>
          <w:kern w:val="21"/>
          <w:sz w:val="32"/>
          <w:szCs w:val="32"/>
          <w:lang w:bidi="ar"/>
        </w:rPr>
      </w:pPr>
      <w:r>
        <w:rPr>
          <w:rFonts w:hint="eastAsia" w:ascii="仿宋_GB2312" w:hAnsi="仿宋_GB2312" w:eastAsia="仿宋_GB2312" w:cs="仿宋_GB2312"/>
          <w:kern w:val="21"/>
          <w:sz w:val="32"/>
          <w:szCs w:val="32"/>
          <w:lang w:bidi="ar"/>
        </w:rPr>
        <w:t>围绕“人的一天、人的一生”，不断满足人民群众对美好生活的向往，持续优化公共服务供给，建立统筹城乡、公平可及、服务便利、运行高效、保障有力的社会公共服务体系。</w:t>
      </w:r>
    </w:p>
    <w:p w14:paraId="7AC095D5">
      <w:pPr>
        <w:keepNext w:val="0"/>
        <w:keepLines w:val="0"/>
        <w:pageBreakBefore w:val="0"/>
        <w:kinsoku/>
        <w:wordWrap/>
        <w:overflowPunct w:val="0"/>
        <w:topLinePunct/>
        <w:autoSpaceDE/>
        <w:autoSpaceDN/>
        <w:bidi w:val="0"/>
        <w:adjustRightInd/>
        <w:spacing w:line="560" w:lineRule="exact"/>
        <w:ind w:firstLine="643" w:firstLineChars="200"/>
        <w:textAlignment w:val="auto"/>
        <w:rPr>
          <w:rFonts w:hint="eastAsia" w:ascii="仿宋_GB2312" w:hAnsi="仿宋_GB2312" w:eastAsia="仿宋_GB2312" w:cs="仿宋_GB2312"/>
          <w:kern w:val="21"/>
          <w:sz w:val="32"/>
          <w:szCs w:val="32"/>
        </w:rPr>
      </w:pPr>
      <w:bookmarkStart w:id="520" w:name="_Toc322641585"/>
      <w:bookmarkStart w:id="521" w:name="_Toc564514143"/>
      <w:bookmarkStart w:id="522" w:name="_Toc24374"/>
      <w:bookmarkStart w:id="523" w:name="_Toc30667"/>
      <w:bookmarkStart w:id="524" w:name="_Toc6837"/>
      <w:r>
        <w:rPr>
          <w:rStyle w:val="46"/>
          <w:rFonts w:hint="eastAsia" w:ascii="仿宋_GB2312" w:hAnsi="仿宋_GB2312" w:eastAsia="仿宋_GB2312" w:cs="Times New Roman"/>
          <w:b/>
          <w:bCs/>
          <w:kern w:val="21"/>
          <w:sz w:val="32"/>
          <w:szCs w:val="32"/>
          <w:lang w:bidi="ar"/>
        </w:rPr>
        <w:t>建设现代化教育强区。</w:t>
      </w:r>
      <w:bookmarkEnd w:id="520"/>
      <w:bookmarkEnd w:id="521"/>
      <w:bookmarkEnd w:id="522"/>
      <w:bookmarkEnd w:id="523"/>
      <w:bookmarkEnd w:id="524"/>
      <w:r>
        <w:rPr>
          <w:rFonts w:hint="eastAsia" w:ascii="仿宋_GB2312" w:hAnsi="仿宋_GB2312" w:eastAsia="仿宋_GB2312" w:cs="仿宋_GB2312"/>
          <w:kern w:val="21"/>
          <w:sz w:val="32"/>
          <w:szCs w:val="32"/>
        </w:rPr>
        <w:t>推动基础教育高质量发展，推进国家义务教育教学改革实验区建设。推进学前教育普及普惠发展，推动义务教育优质均衡发展，促进普通高中教育多样特色发展，加强特殊教育融合拓展，引导规范民办教育健康发展。建立与人口变化趋势相协调的基本公共教育服务供给机制，深挖公民办资源潜力，探索学位跨学段错峰调剂，</w:t>
      </w:r>
      <w:r>
        <w:rPr>
          <w:rFonts w:hint="eastAsia" w:ascii="仿宋_GB2312" w:hAnsi="仿宋_GB2312" w:eastAsia="仿宋_GB2312" w:cs="仿宋_GB2312"/>
          <w:spacing w:val="0"/>
          <w:sz w:val="32"/>
          <w:szCs w:val="32"/>
          <w:lang w:val="en-US" w:eastAsia="zh-CN"/>
        </w:rPr>
        <w:t>加大力度增加普通高中学位供给</w:t>
      </w:r>
      <w:r>
        <w:rPr>
          <w:rFonts w:hint="eastAsia" w:ascii="仿宋_GB2312" w:hAnsi="仿宋_GB2312" w:eastAsia="仿宋_GB2312" w:cs="仿宋_GB2312"/>
          <w:kern w:val="21"/>
          <w:sz w:val="32"/>
          <w:szCs w:val="32"/>
        </w:rPr>
        <w:t>。有序推进丝绸中专异地新建、苏大附校改扩建等项目建设。优化师资队伍结构，强化人才引育，加强名师、名班主任和名校长</w:t>
      </w:r>
      <w:r>
        <w:rPr>
          <w:rFonts w:hint="eastAsia" w:ascii="仿宋_GB2312" w:hAnsi="仿宋_GB2312" w:eastAsia="仿宋_GB2312" w:cs="仿宋_GB2312"/>
          <w:kern w:val="21"/>
          <w:sz w:val="32"/>
          <w:szCs w:val="32"/>
          <w:lang w:eastAsia="zh-CN"/>
        </w:rPr>
        <w:t>（</w:t>
      </w:r>
      <w:r>
        <w:rPr>
          <w:rFonts w:hint="eastAsia" w:ascii="仿宋_GB2312" w:hAnsi="仿宋_GB2312" w:eastAsia="仿宋_GB2312" w:cs="仿宋_GB2312"/>
          <w:kern w:val="21"/>
          <w:sz w:val="32"/>
          <w:szCs w:val="32"/>
          <w:lang w:val="en-US" w:eastAsia="zh-CN"/>
        </w:rPr>
        <w:t>书记</w:t>
      </w:r>
      <w:r>
        <w:rPr>
          <w:rFonts w:hint="eastAsia" w:ascii="仿宋_GB2312" w:hAnsi="仿宋_GB2312" w:eastAsia="仿宋_GB2312" w:cs="仿宋_GB2312"/>
          <w:kern w:val="21"/>
          <w:sz w:val="32"/>
          <w:szCs w:val="32"/>
          <w:lang w:eastAsia="zh-CN"/>
        </w:rPr>
        <w:t>）</w:t>
      </w:r>
      <w:r>
        <w:rPr>
          <w:rFonts w:hint="eastAsia" w:ascii="仿宋_GB2312" w:hAnsi="仿宋_GB2312" w:eastAsia="仿宋_GB2312" w:cs="仿宋_GB2312"/>
          <w:kern w:val="21"/>
          <w:sz w:val="32"/>
          <w:szCs w:val="32"/>
        </w:rPr>
        <w:t>队伍建设。推进拔尖人才发现和培养模式改革，发挥创新思维发展学院作用，扩围实施“沃土·脱颖”计划，构建贯通培养体系。实施新时代立德树人工程，健全学校家庭社会协同育人机制。提升高等教育与本地产业衔接度融合度，</w:t>
      </w:r>
      <w:r>
        <w:rPr>
          <w:rFonts w:hint="eastAsia" w:ascii="仿宋_GB2312" w:hAnsi="仿宋_GB2312" w:eastAsia="仿宋_GB2312" w:cs="仿宋_GB2312"/>
          <w:kern w:val="21"/>
          <w:sz w:val="32"/>
          <w:szCs w:val="32"/>
          <w:lang w:val="en-US" w:eastAsia="zh-CN"/>
        </w:rPr>
        <w:t>增强</w:t>
      </w:r>
      <w:r>
        <w:rPr>
          <w:rFonts w:hint="eastAsia" w:ascii="仿宋_GB2312" w:hAnsi="仿宋_GB2312" w:eastAsia="仿宋_GB2312"/>
          <w:snapToGrid w:val="0"/>
          <w:sz w:val="32"/>
          <w:szCs w:val="32"/>
          <w:lang w:eastAsia="zh-CN"/>
        </w:rPr>
        <w:t>职业学校办学能力，</w:t>
      </w:r>
      <w:r>
        <w:rPr>
          <w:rFonts w:hint="eastAsia" w:ascii="仿宋_GB2312" w:hAnsi="仿宋_GB2312" w:eastAsia="仿宋_GB2312" w:cs="仿宋_GB2312"/>
          <w:kern w:val="21"/>
          <w:sz w:val="32"/>
          <w:szCs w:val="32"/>
        </w:rPr>
        <w:t>推进校企合作、产教融合，培养创新型人才。</w:t>
      </w:r>
      <w:r>
        <w:rPr>
          <w:rFonts w:hint="eastAsia" w:ascii="仿宋_GB2312" w:hAnsi="仿宋_GB2312" w:eastAsia="仿宋_GB2312" w:cs="仿宋_GB2312"/>
          <w:color w:val="auto"/>
          <w:sz w:val="32"/>
          <w:szCs w:val="32"/>
        </w:rPr>
        <w:t>深入贯彻落实国家教育数字化战略行动，深化人工智能技术与教育教学融合</w:t>
      </w:r>
      <w:r>
        <w:rPr>
          <w:rFonts w:hint="eastAsia" w:ascii="仿宋_GB2312" w:hAnsi="仿宋_GB2312" w:eastAsia="仿宋_GB2312" w:cs="仿宋_GB2312"/>
          <w:color w:val="auto"/>
          <w:sz w:val="32"/>
          <w:szCs w:val="32"/>
          <w:lang w:eastAsia="zh-CN"/>
        </w:rPr>
        <w:t>。</w:t>
      </w:r>
    </w:p>
    <w:p w14:paraId="05611E27">
      <w:pPr>
        <w:keepNext w:val="0"/>
        <w:keepLines w:val="0"/>
        <w:pageBreakBefore w:val="0"/>
        <w:kinsoku/>
        <w:wordWrap/>
        <w:overflowPunct w:val="0"/>
        <w:topLinePunct/>
        <w:autoSpaceDE/>
        <w:autoSpaceDN/>
        <w:bidi w:val="0"/>
        <w:adjustRightInd/>
        <w:spacing w:line="560" w:lineRule="exact"/>
        <w:ind w:firstLine="643" w:firstLineChars="200"/>
        <w:jc w:val="left"/>
        <w:textAlignment w:val="auto"/>
        <w:rPr>
          <w:rFonts w:hint="eastAsia" w:ascii="仿宋_GB2312" w:hAnsi="仿宋_GB2312" w:eastAsia="仿宋_GB2312" w:cs="仿宋_GB2312"/>
          <w:kern w:val="21"/>
          <w:sz w:val="32"/>
          <w:szCs w:val="32"/>
          <w:lang w:bidi="ar"/>
        </w:rPr>
      </w:pPr>
      <w:bookmarkStart w:id="525" w:name="_Toc14103"/>
      <w:bookmarkStart w:id="526" w:name="_Toc168348978"/>
      <w:bookmarkStart w:id="527" w:name="_Toc15232"/>
      <w:bookmarkStart w:id="528" w:name="_Toc16696"/>
      <w:bookmarkStart w:id="529" w:name="_Toc1668881592"/>
      <w:r>
        <w:rPr>
          <w:rStyle w:val="46"/>
          <w:rFonts w:hint="eastAsia" w:ascii="仿宋_GB2312" w:hAnsi="仿宋_GB2312" w:eastAsia="仿宋_GB2312" w:cs="Times New Roman"/>
          <w:b/>
          <w:bCs/>
          <w:kern w:val="21"/>
          <w:sz w:val="32"/>
          <w:szCs w:val="32"/>
          <w:lang w:bidi="ar"/>
        </w:rPr>
        <w:t>建设更高水平健康吴江</w:t>
      </w:r>
      <w:bookmarkEnd w:id="525"/>
      <w:bookmarkEnd w:id="526"/>
      <w:bookmarkEnd w:id="527"/>
      <w:bookmarkEnd w:id="528"/>
      <w:bookmarkEnd w:id="529"/>
      <w:r>
        <w:rPr>
          <w:rFonts w:hint="eastAsia" w:ascii="仿宋_GB2312" w:hAnsi="仿宋_GB2312" w:eastAsia="仿宋_GB2312" w:cs="仿宋_GB2312"/>
          <w:b/>
          <w:bCs/>
          <w:kern w:val="21"/>
          <w:sz w:val="32"/>
          <w:szCs w:val="32"/>
          <w:lang w:bidi="ar"/>
        </w:rPr>
        <w:t>。</w:t>
      </w:r>
      <w:r>
        <w:rPr>
          <w:rFonts w:hint="eastAsia" w:ascii="仿宋_GB2312" w:hAnsi="仿宋_GB2312" w:eastAsia="仿宋_GB2312" w:cs="仿宋_GB2312"/>
          <w:b w:val="0"/>
          <w:bCs w:val="0"/>
          <w:kern w:val="21"/>
          <w:sz w:val="32"/>
          <w:szCs w:val="32"/>
          <w:lang w:eastAsia="zh-CN" w:bidi="ar"/>
        </w:rPr>
        <w:t>落实健康优先发展战略，深入开展爱国卫生运动，</w:t>
      </w:r>
      <w:r>
        <w:rPr>
          <w:rFonts w:hint="eastAsia" w:ascii="仿宋_GB2312" w:hAnsi="仿宋_GB2312" w:eastAsia="仿宋_GB2312" w:cs="仿宋_GB2312"/>
          <w:kern w:val="21"/>
          <w:sz w:val="32"/>
          <w:szCs w:val="32"/>
        </w:rPr>
        <w:t>建设功能互补、连续协同、富有韧性、优质高效的医疗卫生体系，</w:t>
      </w:r>
      <w:r>
        <w:rPr>
          <w:rFonts w:hint="eastAsia" w:ascii="仿宋_GB2312" w:hAnsi="仿宋_GB2312" w:eastAsia="仿宋_GB2312" w:cs="仿宋_GB2312"/>
          <w:kern w:val="21"/>
          <w:sz w:val="32"/>
          <w:szCs w:val="32"/>
          <w:lang w:val="en-US" w:eastAsia="zh-CN"/>
        </w:rPr>
        <w:t>持续</w:t>
      </w:r>
      <w:r>
        <w:rPr>
          <w:rFonts w:hint="eastAsia" w:ascii="仿宋_GB2312" w:hAnsi="仿宋_GB2312" w:eastAsia="仿宋_GB2312" w:cs="仿宋_GB2312"/>
          <w:kern w:val="21"/>
          <w:sz w:val="32"/>
          <w:szCs w:val="32"/>
        </w:rPr>
        <w:t>提高人均预期寿命和人民健康水平。</w:t>
      </w:r>
      <w:r>
        <w:rPr>
          <w:rFonts w:hint="eastAsia" w:ascii="仿宋_GB2312" w:hAnsi="仿宋_GB2312" w:eastAsia="仿宋_GB2312" w:cs="仿宋_GB2312"/>
          <w:kern w:val="21"/>
          <w:sz w:val="32"/>
          <w:szCs w:val="32"/>
          <w:lang w:eastAsia="zh-CN"/>
        </w:rPr>
        <w:t>强化区级医院引领带动，</w:t>
      </w:r>
      <w:r>
        <w:rPr>
          <w:rFonts w:hint="eastAsia" w:ascii="仿宋_GB2312" w:hAnsi="仿宋_GB2312" w:eastAsia="仿宋_GB2312" w:cs="仿宋_GB2312"/>
          <w:kern w:val="21"/>
          <w:sz w:val="32"/>
          <w:szCs w:val="32"/>
          <w:lang w:val="en-US" w:eastAsia="zh-CN"/>
        </w:rPr>
        <w:t>全力提升</w:t>
      </w:r>
      <w:r>
        <w:rPr>
          <w:rFonts w:hint="eastAsia" w:ascii="仿宋_GB2312" w:hAnsi="仿宋_GB2312" w:eastAsia="仿宋_GB2312" w:cs="仿宋_GB2312"/>
          <w:kern w:val="21"/>
          <w:sz w:val="32"/>
          <w:szCs w:val="32"/>
          <w:lang w:eastAsia="zh-CN"/>
        </w:rPr>
        <w:t>核心</w:t>
      </w:r>
      <w:r>
        <w:rPr>
          <w:rFonts w:hint="eastAsia" w:ascii="仿宋_GB2312" w:hAnsi="仿宋_GB2312" w:eastAsia="仿宋_GB2312" w:cs="仿宋_GB2312"/>
          <w:kern w:val="21"/>
          <w:sz w:val="32"/>
          <w:szCs w:val="32"/>
        </w:rPr>
        <w:t>医疗技术水平和诊疗质量效率，推动</w:t>
      </w:r>
      <w:r>
        <w:rPr>
          <w:rFonts w:hint="eastAsia" w:ascii="仿宋_GB2312" w:hAnsi="仿宋_GB2312" w:eastAsia="仿宋_GB2312" w:cs="仿宋_GB2312"/>
          <w:kern w:val="21"/>
          <w:sz w:val="32"/>
          <w:szCs w:val="32"/>
          <w:lang w:eastAsia="zh-CN"/>
        </w:rPr>
        <w:t>苏州九院</w:t>
      </w:r>
      <w:r>
        <w:rPr>
          <w:rFonts w:hint="eastAsia" w:ascii="仿宋_GB2312" w:hAnsi="仿宋_GB2312" w:eastAsia="仿宋_GB2312" w:cs="仿宋_GB2312"/>
          <w:kern w:val="21"/>
          <w:sz w:val="32"/>
          <w:szCs w:val="32"/>
          <w:lang w:val="en-US" w:eastAsia="zh-CN"/>
        </w:rPr>
        <w:t>创成</w:t>
      </w:r>
      <w:r>
        <w:rPr>
          <w:rFonts w:hint="eastAsia" w:ascii="仿宋_GB2312" w:hAnsi="仿宋_GB2312" w:eastAsia="仿宋_GB2312" w:cs="仿宋_GB2312"/>
          <w:kern w:val="21"/>
          <w:sz w:val="32"/>
          <w:szCs w:val="32"/>
          <w:lang w:eastAsia="zh-CN"/>
        </w:rPr>
        <w:t>三级甲等</w:t>
      </w:r>
      <w:r>
        <w:rPr>
          <w:rFonts w:hint="eastAsia" w:ascii="仿宋_GB2312" w:hAnsi="仿宋_GB2312" w:eastAsia="仿宋_GB2312" w:cs="仿宋_GB2312"/>
          <w:kern w:val="21"/>
          <w:sz w:val="32"/>
          <w:szCs w:val="32"/>
        </w:rPr>
        <w:t>医院</w:t>
      </w:r>
      <w:r>
        <w:rPr>
          <w:rFonts w:hint="eastAsia" w:ascii="仿宋_GB2312" w:hAnsi="仿宋_GB2312" w:eastAsia="仿宋_GB2312" w:cs="仿宋_GB2312"/>
          <w:kern w:val="21"/>
          <w:sz w:val="32"/>
          <w:szCs w:val="32"/>
          <w:lang w:eastAsia="zh-CN"/>
        </w:rPr>
        <w:t>。</w:t>
      </w:r>
      <w:r>
        <w:rPr>
          <w:rFonts w:hint="eastAsia" w:ascii="仿宋_GB2312" w:hAnsi="仿宋_GB2312" w:eastAsia="仿宋_GB2312" w:cs="仿宋_GB2312"/>
          <w:kern w:val="21"/>
          <w:sz w:val="32"/>
          <w:szCs w:val="32"/>
        </w:rPr>
        <w:t>深化拓展跨区域医疗合作，持续引进优质医疗资源。推进智慧医院建设，加强医院信息标准化与规范化管理，</w:t>
      </w:r>
      <w:r>
        <w:rPr>
          <w:rFonts w:hint="eastAsia" w:ascii="仿宋_GB2312" w:hAnsi="仿宋_GB2312" w:eastAsia="仿宋_GB2312" w:cs="仿宋_GB2312"/>
          <w:kern w:val="21"/>
          <w:sz w:val="32"/>
          <w:szCs w:val="32"/>
          <w:lang w:val="en-US" w:eastAsia="zh-CN"/>
        </w:rPr>
        <w:t>做强</w:t>
      </w:r>
      <w:r>
        <w:rPr>
          <w:rFonts w:hint="eastAsia" w:ascii="仿宋_GB2312" w:hAnsi="仿宋_GB2312" w:eastAsia="仿宋_GB2312" w:cs="仿宋_GB2312"/>
          <w:kern w:val="21"/>
          <w:sz w:val="32"/>
          <w:szCs w:val="32"/>
        </w:rPr>
        <w:t>医疗健康大数据中心。</w:t>
      </w:r>
      <w:r>
        <w:rPr>
          <w:rFonts w:hint="eastAsia" w:ascii="仿宋_GB2312" w:hAnsi="仿宋_GB2312" w:eastAsia="仿宋_GB2312" w:cs="仿宋_GB2312"/>
          <w:kern w:val="21"/>
          <w:sz w:val="32"/>
          <w:szCs w:val="32"/>
          <w:lang w:eastAsia="zh-CN"/>
        </w:rPr>
        <w:t>提升基层医院服务能级，推进区四院建设，推动二级社区医院</w:t>
      </w:r>
      <w:r>
        <w:rPr>
          <w:rFonts w:hint="eastAsia" w:ascii="仿宋_GB2312" w:hAnsi="仿宋_GB2312" w:eastAsia="仿宋_GB2312" w:cs="仿宋_GB2312"/>
          <w:kern w:val="21"/>
          <w:sz w:val="32"/>
          <w:szCs w:val="32"/>
          <w:lang w:val="en-US" w:eastAsia="zh-CN"/>
        </w:rPr>
        <w:t>创建</w:t>
      </w:r>
      <w:r>
        <w:rPr>
          <w:rFonts w:hint="eastAsia" w:ascii="仿宋_GB2312" w:hAnsi="仿宋_GB2312" w:eastAsia="仿宋_GB2312" w:cs="仿宋_GB2312"/>
          <w:kern w:val="21"/>
          <w:sz w:val="32"/>
          <w:szCs w:val="32"/>
          <w:lang w:eastAsia="zh-CN"/>
        </w:rPr>
        <w:t>，</w:t>
      </w:r>
      <w:r>
        <w:rPr>
          <w:rFonts w:hint="eastAsia" w:ascii="仿宋_GB2312" w:hAnsi="仿宋_GB2312" w:eastAsia="仿宋_GB2312" w:cs="仿宋_GB2312"/>
          <w:kern w:val="21"/>
          <w:sz w:val="32"/>
          <w:szCs w:val="32"/>
        </w:rPr>
        <w:t>打造“一院一品”基层服务品牌</w:t>
      </w:r>
      <w:r>
        <w:rPr>
          <w:rFonts w:hint="eastAsia" w:ascii="仿宋_GB2312" w:hAnsi="仿宋_GB2312" w:eastAsia="仿宋_GB2312" w:cs="仿宋_GB2312"/>
          <w:kern w:val="21"/>
          <w:sz w:val="32"/>
          <w:szCs w:val="32"/>
          <w:lang w:eastAsia="zh-CN"/>
        </w:rPr>
        <w:t>。</w:t>
      </w:r>
      <w:r>
        <w:rPr>
          <w:rFonts w:hint="eastAsia" w:ascii="仿宋_GB2312" w:hAnsi="仿宋_GB2312" w:eastAsia="仿宋_GB2312" w:cs="仿宋_GB2312"/>
          <w:kern w:val="21"/>
          <w:sz w:val="32"/>
          <w:szCs w:val="32"/>
        </w:rPr>
        <w:t>优化社区卫生服务站点布局</w:t>
      </w:r>
      <w:r>
        <w:rPr>
          <w:rFonts w:hint="eastAsia"/>
          <w:kern w:val="21"/>
        </w:rPr>
        <w:t>，</w:t>
      </w:r>
      <w:r>
        <w:rPr>
          <w:rFonts w:hint="eastAsia" w:ascii="仿宋_GB2312" w:hAnsi="仿宋_GB2312" w:eastAsia="仿宋_GB2312" w:cs="仿宋_GB2312"/>
          <w:kern w:val="21"/>
          <w:sz w:val="32"/>
          <w:szCs w:val="32"/>
        </w:rPr>
        <w:t>推进家庭医生工作室建设。提升基层医疗卫生机构</w:t>
      </w:r>
      <w:r>
        <w:rPr>
          <w:rFonts w:hint="eastAsia" w:ascii="仿宋_GB2312" w:hAnsi="仿宋_GB2312" w:eastAsia="仿宋_GB2312" w:cs="仿宋_GB2312"/>
          <w:kern w:val="21"/>
          <w:sz w:val="32"/>
          <w:szCs w:val="32"/>
          <w:lang w:val="en-US" w:eastAsia="zh-CN"/>
        </w:rPr>
        <w:t>对</w:t>
      </w:r>
      <w:r>
        <w:rPr>
          <w:rFonts w:hint="eastAsia" w:ascii="仿宋_GB2312" w:hAnsi="仿宋_GB2312" w:eastAsia="仿宋_GB2312" w:cs="仿宋_GB2312"/>
          <w:kern w:val="21"/>
          <w:sz w:val="32"/>
          <w:szCs w:val="32"/>
        </w:rPr>
        <w:t>常见病、多发病、慢性病的诊疗服务水平，精准保障药品供应。深化医药卫生体制改革，</w:t>
      </w:r>
      <w:r>
        <w:rPr>
          <w:rFonts w:hint="eastAsia" w:ascii="仿宋_GB2312" w:hAnsi="仿宋_GB2312" w:eastAsia="仿宋_GB2312" w:cs="仿宋_GB2312"/>
          <w:kern w:val="21"/>
          <w:sz w:val="32"/>
          <w:szCs w:val="32"/>
          <w:lang w:val="en-US" w:eastAsia="zh-CN"/>
        </w:rPr>
        <w:t>持续推进</w:t>
      </w:r>
      <w:r>
        <w:rPr>
          <w:rFonts w:hint="eastAsia" w:ascii="仿宋_GB2312" w:hAnsi="仿宋_GB2312" w:eastAsia="仿宋_GB2312" w:cs="仿宋_GB2312"/>
          <w:kern w:val="21"/>
          <w:sz w:val="32"/>
          <w:szCs w:val="32"/>
        </w:rPr>
        <w:t>紧密型县域医共体建设</w:t>
      </w:r>
      <w:r>
        <w:rPr>
          <w:rFonts w:hint="eastAsia" w:ascii="仿宋_GB2312" w:hAnsi="仿宋_GB2312" w:eastAsia="仿宋_GB2312" w:cs="仿宋_GB2312"/>
          <w:kern w:val="21"/>
          <w:sz w:val="32"/>
          <w:szCs w:val="32"/>
          <w:lang w:eastAsia="zh-CN"/>
        </w:rPr>
        <w:t>。加强</w:t>
      </w:r>
      <w:r>
        <w:rPr>
          <w:rFonts w:hint="eastAsia" w:ascii="仿宋_GB2312" w:hAnsi="仿宋_GB2312" w:eastAsia="仿宋_GB2312" w:cs="仿宋_GB2312"/>
          <w:kern w:val="21"/>
          <w:sz w:val="32"/>
          <w:szCs w:val="32"/>
        </w:rPr>
        <w:t>公共卫生能力</w:t>
      </w:r>
      <w:r>
        <w:rPr>
          <w:rFonts w:hint="eastAsia" w:ascii="仿宋_GB2312" w:hAnsi="仿宋_GB2312" w:eastAsia="仿宋_GB2312" w:cs="仿宋_GB2312"/>
          <w:kern w:val="21"/>
          <w:sz w:val="32"/>
          <w:szCs w:val="32"/>
          <w:lang w:eastAsia="zh-CN"/>
        </w:rPr>
        <w:t>和</w:t>
      </w:r>
      <w:r>
        <w:rPr>
          <w:rFonts w:hint="eastAsia" w:ascii="仿宋_GB2312" w:hAnsi="仿宋_GB2312" w:eastAsia="仿宋_GB2312" w:cs="仿宋_GB2312"/>
          <w:kern w:val="21"/>
          <w:sz w:val="32"/>
          <w:szCs w:val="32"/>
        </w:rPr>
        <w:t>疾控体系建设</w:t>
      </w:r>
      <w:r>
        <w:rPr>
          <w:rFonts w:hint="eastAsia" w:ascii="仿宋_GB2312" w:hAnsi="仿宋_GB2312" w:eastAsia="仿宋_GB2312" w:cs="仿宋_GB2312"/>
          <w:kern w:val="21"/>
          <w:sz w:val="32"/>
          <w:szCs w:val="32"/>
          <w:lang w:eastAsia="zh-CN"/>
        </w:rPr>
        <w:t>，强化心理健康和精神卫生服务。</w:t>
      </w:r>
      <w:r>
        <w:rPr>
          <w:rFonts w:hint="eastAsia" w:ascii="仿宋_GB2312" w:hAnsi="仿宋_GB2312" w:eastAsia="仿宋_GB2312" w:cs="仿宋_GB2312"/>
          <w:kern w:val="21"/>
          <w:sz w:val="32"/>
          <w:szCs w:val="32"/>
          <w:lang w:val="en-US" w:eastAsia="zh-CN"/>
        </w:rPr>
        <w:t>规范</w:t>
      </w:r>
      <w:r>
        <w:rPr>
          <w:rFonts w:hint="eastAsia" w:ascii="仿宋_GB2312" w:hAnsi="仿宋_GB2312" w:eastAsia="仿宋_GB2312" w:cs="仿宋_GB2312"/>
          <w:kern w:val="21"/>
          <w:sz w:val="32"/>
          <w:szCs w:val="32"/>
          <w:lang w:eastAsia="zh-CN"/>
        </w:rPr>
        <w:t>社会办医发展，</w:t>
      </w:r>
      <w:r>
        <w:rPr>
          <w:rFonts w:hint="eastAsia" w:ascii="仿宋_GB2312" w:hAnsi="仿宋_GB2312" w:eastAsia="仿宋_GB2312" w:cs="仿宋_GB2312"/>
          <w:kern w:val="21"/>
          <w:sz w:val="32"/>
          <w:szCs w:val="32"/>
          <w:lang w:val="en-US" w:eastAsia="zh-CN"/>
        </w:rPr>
        <w:t>健全医疗服务多元格局。</w:t>
      </w:r>
      <w:r>
        <w:rPr>
          <w:rFonts w:hint="eastAsia" w:ascii="仿宋_GB2312" w:hAnsi="仿宋_GB2312" w:eastAsia="仿宋_GB2312" w:cs="仿宋_GB2312"/>
          <w:kern w:val="21"/>
          <w:sz w:val="32"/>
          <w:szCs w:val="32"/>
          <w:highlight w:val="none"/>
          <w:lang w:eastAsia="zh-CN"/>
        </w:rPr>
        <w:t>到</w:t>
      </w:r>
      <w:r>
        <w:rPr>
          <w:rFonts w:hint="eastAsia" w:ascii="仿宋_GB2312" w:hAnsi="仿宋_GB2312" w:eastAsia="仿宋_GB2312" w:cs="仿宋_GB2312"/>
          <w:kern w:val="21"/>
          <w:sz w:val="32"/>
          <w:szCs w:val="32"/>
          <w:highlight w:val="none"/>
          <w:lang w:val="en-US" w:eastAsia="zh-CN"/>
        </w:rPr>
        <w:t>2030年，急救分站超17个。</w:t>
      </w:r>
    </w:p>
    <w:p w14:paraId="72015D36">
      <w:pPr>
        <w:keepNext w:val="0"/>
        <w:keepLines w:val="0"/>
        <w:pageBreakBefore w:val="0"/>
        <w:kinsoku/>
        <w:wordWrap/>
        <w:overflowPunct w:val="0"/>
        <w:topLinePunct/>
        <w:autoSpaceDE/>
        <w:autoSpaceDN/>
        <w:bidi w:val="0"/>
        <w:adjustRightInd/>
        <w:spacing w:line="560" w:lineRule="exact"/>
        <w:ind w:firstLine="643" w:firstLineChars="200"/>
        <w:textAlignment w:val="auto"/>
        <w:rPr>
          <w:rFonts w:hint="eastAsia" w:ascii="仿宋_GB2312" w:hAnsi="仿宋_GB2312" w:eastAsia="仿宋_GB2312" w:cs="仿宋_GB2312"/>
          <w:kern w:val="21"/>
          <w:sz w:val="32"/>
          <w:szCs w:val="32"/>
        </w:rPr>
      </w:pPr>
      <w:bookmarkStart w:id="530" w:name="_Toc1795879194"/>
      <w:bookmarkStart w:id="531" w:name="_Toc10033"/>
      <w:bookmarkStart w:id="532" w:name="_Toc841138674"/>
      <w:bookmarkStart w:id="533" w:name="_Toc1947"/>
      <w:bookmarkStart w:id="534" w:name="_Toc2040"/>
      <w:r>
        <w:rPr>
          <w:rStyle w:val="46"/>
          <w:rFonts w:hint="eastAsia" w:ascii="仿宋_GB2312" w:hAnsi="仿宋_GB2312" w:eastAsia="仿宋_GB2312" w:cs="Times New Roman"/>
          <w:b/>
          <w:bCs/>
          <w:kern w:val="21"/>
          <w:sz w:val="32"/>
          <w:szCs w:val="32"/>
          <w:lang w:bidi="ar"/>
        </w:rPr>
        <w:t>健全人口服务体系</w:t>
      </w:r>
      <w:r>
        <w:rPr>
          <w:rStyle w:val="46"/>
          <w:rFonts w:hint="eastAsia" w:ascii="仿宋_GB2312" w:hAnsi="仿宋_GB2312" w:eastAsia="仿宋_GB2312" w:cs="Times New Roman"/>
          <w:kern w:val="21"/>
          <w:sz w:val="32"/>
          <w:szCs w:val="32"/>
          <w:lang w:bidi="ar"/>
        </w:rPr>
        <w:t>。</w:t>
      </w:r>
      <w:bookmarkEnd w:id="530"/>
      <w:bookmarkEnd w:id="531"/>
      <w:bookmarkEnd w:id="532"/>
      <w:bookmarkEnd w:id="533"/>
      <w:bookmarkEnd w:id="534"/>
      <w:r>
        <w:rPr>
          <w:rFonts w:hint="eastAsia" w:ascii="仿宋_GB2312" w:hAnsi="仿宋_GB2312" w:eastAsia="仿宋_GB2312" w:cs="仿宋_GB2312"/>
          <w:kern w:val="21"/>
          <w:sz w:val="32"/>
          <w:szCs w:val="32"/>
          <w:lang w:val="en-US" w:eastAsia="zh-CN"/>
        </w:rPr>
        <w:t>将</w:t>
      </w:r>
      <w:r>
        <w:rPr>
          <w:rFonts w:hint="eastAsia" w:ascii="仿宋_GB2312" w:hAnsi="仿宋_GB2312" w:eastAsia="仿宋_GB2312" w:cs="仿宋_GB2312"/>
          <w:kern w:val="21"/>
          <w:sz w:val="32"/>
          <w:szCs w:val="32"/>
        </w:rPr>
        <w:t>人口战略摆在突出位置，</w:t>
      </w:r>
      <w:r>
        <w:rPr>
          <w:rFonts w:hint="eastAsia" w:ascii="仿宋_GB2312" w:hAnsi="仿宋_GB2312" w:eastAsia="仿宋_GB2312" w:cs="仿宋_GB2312"/>
          <w:kern w:val="21"/>
          <w:sz w:val="32"/>
          <w:szCs w:val="32"/>
          <w:lang w:val="en-US" w:eastAsia="zh-CN"/>
        </w:rPr>
        <w:t>主动</w:t>
      </w:r>
      <w:r>
        <w:rPr>
          <w:rFonts w:hint="eastAsia" w:ascii="仿宋_GB2312" w:hAnsi="仿宋_GB2312" w:eastAsia="仿宋_GB2312" w:cs="仿宋_GB2312"/>
          <w:kern w:val="21"/>
          <w:sz w:val="32"/>
          <w:szCs w:val="32"/>
          <w:lang w:eastAsia="zh-CN"/>
        </w:rPr>
        <w:t>应对人口老龄化、少子化，</w:t>
      </w:r>
      <w:r>
        <w:rPr>
          <w:rFonts w:hint="eastAsia" w:ascii="仿宋_GB2312" w:hAnsi="仿宋_GB2312" w:eastAsia="仿宋_GB2312" w:cs="仿宋_GB2312"/>
          <w:kern w:val="21"/>
          <w:sz w:val="32"/>
          <w:szCs w:val="32"/>
          <w:lang w:bidi="ar"/>
        </w:rPr>
        <w:t>健全覆盖全人群、全生命周期的人口服务体系。</w:t>
      </w:r>
      <w:r>
        <w:rPr>
          <w:rFonts w:hint="eastAsia" w:ascii="仿宋_GB2312" w:hAnsi="仿宋_GB2312" w:eastAsia="仿宋_GB2312" w:cs="仿宋_GB2312"/>
          <w:kern w:val="21"/>
          <w:sz w:val="32"/>
          <w:szCs w:val="32"/>
        </w:rPr>
        <w:t>倡导积极的婚育观，优化生育支持</w:t>
      </w:r>
      <w:r>
        <w:rPr>
          <w:rFonts w:hint="eastAsia" w:ascii="仿宋_GB2312" w:hAnsi="仿宋_GB2312" w:eastAsia="仿宋_GB2312" w:cs="仿宋_GB2312"/>
          <w:kern w:val="21"/>
          <w:sz w:val="32"/>
          <w:szCs w:val="32"/>
          <w:lang w:val="en-US" w:eastAsia="zh-CN"/>
        </w:rPr>
        <w:t>与</w:t>
      </w:r>
      <w:r>
        <w:rPr>
          <w:rFonts w:hint="eastAsia" w:ascii="仿宋_GB2312" w:hAnsi="仿宋_GB2312" w:eastAsia="仿宋_GB2312" w:cs="仿宋_GB2312"/>
          <w:kern w:val="21"/>
          <w:sz w:val="32"/>
          <w:szCs w:val="32"/>
        </w:rPr>
        <w:t>激励政策，强化生育养育服务供给，</w:t>
      </w:r>
      <w:r>
        <w:rPr>
          <w:rFonts w:hint="eastAsia" w:ascii="仿宋_GB2312" w:hAnsi="仿宋_GB2312" w:eastAsia="仿宋_GB2312" w:cs="仿宋_GB2312"/>
          <w:kern w:val="21"/>
          <w:sz w:val="32"/>
          <w:szCs w:val="32"/>
          <w:lang w:val="en-US" w:eastAsia="zh-CN"/>
        </w:rPr>
        <w:t>落细</w:t>
      </w:r>
      <w:r>
        <w:rPr>
          <w:rFonts w:hint="eastAsia" w:ascii="仿宋_GB2312" w:hAnsi="仿宋_GB2312" w:eastAsia="仿宋_GB2312" w:cs="仿宋_GB2312"/>
          <w:kern w:val="21"/>
          <w:sz w:val="32"/>
          <w:szCs w:val="32"/>
        </w:rPr>
        <w:t>落实生育保险和生育休假制度，建立“1+N”托育服务体系，完善户籍</w:t>
      </w:r>
      <w:r>
        <w:rPr>
          <w:rFonts w:hint="eastAsia" w:ascii="仿宋_GB2312" w:hAnsi="仿宋_GB2312" w:eastAsia="仿宋_GB2312" w:cs="仿宋_GB2312"/>
          <w:kern w:val="21"/>
          <w:sz w:val="32"/>
          <w:szCs w:val="32"/>
          <w:lang w:val="en-US" w:eastAsia="zh-CN"/>
        </w:rPr>
        <w:t>办理</w:t>
      </w:r>
      <w:r>
        <w:rPr>
          <w:rFonts w:hint="eastAsia" w:ascii="仿宋_GB2312" w:hAnsi="仿宋_GB2312" w:eastAsia="仿宋_GB2312" w:cs="仿宋_GB2312"/>
          <w:kern w:val="21"/>
          <w:sz w:val="32"/>
          <w:szCs w:val="32"/>
        </w:rPr>
        <w:t>、随迁子女入学等便利化举措，全力打造生育友好型社会。</w:t>
      </w:r>
      <w:r>
        <w:rPr>
          <w:rFonts w:hint="eastAsia" w:ascii="仿宋_GB2312" w:hAnsi="仿宋_GB2312" w:eastAsia="仿宋_GB2312" w:cs="仿宋_GB2312"/>
          <w:kern w:val="21"/>
          <w:sz w:val="32"/>
          <w:szCs w:val="32"/>
          <w:lang w:bidi="ar"/>
        </w:rPr>
        <w:t>丰富“青年夜校”等青年技能提升和多元社交活动供给，优化青年公寓、创业空间</w:t>
      </w:r>
      <w:r>
        <w:rPr>
          <w:rFonts w:hint="eastAsia" w:ascii="仿宋_GB2312" w:hAnsi="仿宋_GB2312" w:eastAsia="仿宋_GB2312" w:cs="仿宋_GB2312"/>
          <w:kern w:val="21"/>
          <w:sz w:val="32"/>
          <w:szCs w:val="32"/>
          <w:lang w:val="en-US" w:eastAsia="zh-CN" w:bidi="ar"/>
        </w:rPr>
        <w:t>及</w:t>
      </w:r>
      <w:r>
        <w:rPr>
          <w:rFonts w:hint="eastAsia" w:ascii="仿宋_GB2312" w:hAnsi="仿宋_GB2312" w:eastAsia="仿宋_GB2312" w:cs="仿宋_GB2312"/>
          <w:kern w:val="21"/>
          <w:sz w:val="32"/>
          <w:szCs w:val="32"/>
          <w:lang w:bidi="ar"/>
        </w:rPr>
        <w:t>文化娱乐场所建设布局，加大青年就业政策支持</w:t>
      </w:r>
      <w:r>
        <w:rPr>
          <w:rFonts w:hint="eastAsia" w:ascii="仿宋_GB2312" w:hAnsi="仿宋_GB2312" w:eastAsia="仿宋_GB2312" w:cs="仿宋_GB2312"/>
          <w:kern w:val="21"/>
          <w:sz w:val="32"/>
          <w:szCs w:val="32"/>
          <w:lang w:val="en-US" w:eastAsia="zh-CN" w:bidi="ar"/>
        </w:rPr>
        <w:t>及</w:t>
      </w:r>
      <w:r>
        <w:rPr>
          <w:rFonts w:hint="eastAsia" w:ascii="仿宋_GB2312" w:hAnsi="仿宋_GB2312" w:eastAsia="仿宋_GB2312" w:cs="仿宋_GB2312"/>
          <w:kern w:val="21"/>
          <w:sz w:val="32"/>
          <w:szCs w:val="32"/>
          <w:lang w:bidi="ar"/>
        </w:rPr>
        <w:t>权益保障力度，营造安心创业、乐享生活的青年发展生态，让青年在吴江更有为。</w:t>
      </w:r>
      <w:r>
        <w:rPr>
          <w:rFonts w:hint="eastAsia" w:ascii="仿宋_GB2312" w:hAnsi="仿宋_GB2312" w:eastAsia="仿宋_GB2312" w:cs="仿宋_GB2312"/>
          <w:kern w:val="21"/>
          <w:sz w:val="32"/>
          <w:szCs w:val="32"/>
        </w:rPr>
        <w:t>发展社区养老、优化居家养老、推进智慧养老，</w:t>
      </w:r>
      <w:r>
        <w:rPr>
          <w:rFonts w:hint="eastAsia" w:ascii="仿宋_GB2312" w:hAnsi="仿宋_GB2312" w:eastAsia="仿宋_GB2312" w:cs="仿宋_GB2312"/>
          <w:kern w:val="21"/>
          <w:sz w:val="32"/>
          <w:szCs w:val="32"/>
          <w:lang w:val="en-US" w:eastAsia="zh-CN"/>
        </w:rPr>
        <w:t>深化</w:t>
      </w:r>
      <w:r>
        <w:rPr>
          <w:rFonts w:hint="eastAsia" w:ascii="仿宋_GB2312" w:hAnsi="仿宋_GB2312" w:eastAsia="仿宋_GB2312" w:cs="仿宋_GB2312"/>
          <w:kern w:val="21"/>
          <w:sz w:val="32"/>
          <w:szCs w:val="32"/>
        </w:rPr>
        <w:t>医养结合服务，</w:t>
      </w:r>
      <w:r>
        <w:rPr>
          <w:rFonts w:hint="eastAsia" w:ascii="仿宋_GB2312" w:hAnsi="仿宋_GB2312" w:eastAsia="仿宋_GB2312" w:cs="仿宋_GB2312"/>
          <w:kern w:val="21"/>
          <w:sz w:val="32"/>
          <w:szCs w:val="32"/>
          <w:lang w:val="en-US" w:eastAsia="zh-CN"/>
        </w:rPr>
        <w:t>丰富</w:t>
      </w:r>
      <w:r>
        <w:rPr>
          <w:rFonts w:hint="eastAsia" w:ascii="仿宋_GB2312" w:hAnsi="仿宋_GB2312" w:eastAsia="仿宋_GB2312" w:cs="仿宋_GB2312"/>
          <w:kern w:val="21"/>
          <w:sz w:val="32"/>
          <w:szCs w:val="32"/>
        </w:rPr>
        <w:t>基本养老服务供给，全面提升长护险服务能力</w:t>
      </w:r>
      <w:r>
        <w:rPr>
          <w:rFonts w:hint="eastAsia" w:ascii="仿宋_GB2312" w:hAnsi="仿宋_GB2312" w:eastAsia="仿宋_GB2312" w:cs="仿宋_GB2312"/>
          <w:kern w:val="21"/>
          <w:sz w:val="32"/>
          <w:szCs w:val="32"/>
          <w:lang w:eastAsia="zh-CN"/>
        </w:rPr>
        <w:t>，</w:t>
      </w:r>
      <w:r>
        <w:rPr>
          <w:rFonts w:hint="eastAsia" w:ascii="仿宋_GB2312" w:hAnsi="仿宋_GB2312" w:eastAsia="仿宋_GB2312" w:cs="仿宋_GB2312"/>
          <w:kern w:val="21"/>
          <w:sz w:val="32"/>
          <w:szCs w:val="32"/>
        </w:rPr>
        <w:t>健全失能失智老年人照护体系，</w:t>
      </w:r>
      <w:r>
        <w:rPr>
          <w:rFonts w:hint="eastAsia" w:ascii="仿宋_GB2312" w:hAnsi="仿宋_GB2312" w:eastAsia="仿宋_GB2312" w:cs="仿宋_GB2312"/>
          <w:kern w:val="21"/>
          <w:sz w:val="32"/>
          <w:szCs w:val="32"/>
          <w:lang w:eastAsia="zh-CN"/>
        </w:rPr>
        <w:t>积极开发老年人力资源，推动养老事业和养老产业协同</w:t>
      </w:r>
      <w:r>
        <w:rPr>
          <w:rFonts w:hint="eastAsia" w:ascii="仿宋_GB2312" w:hAnsi="仿宋_GB2312" w:eastAsia="仿宋_GB2312" w:cs="仿宋_GB2312"/>
          <w:kern w:val="21"/>
          <w:sz w:val="32"/>
          <w:szCs w:val="32"/>
          <w:lang w:val="en-US" w:eastAsia="zh-CN"/>
        </w:rPr>
        <w:t>发展</w:t>
      </w:r>
      <w:r>
        <w:rPr>
          <w:rFonts w:hint="eastAsia" w:ascii="仿宋_GB2312" w:hAnsi="仿宋_GB2312" w:eastAsia="仿宋_GB2312" w:cs="仿宋_GB2312"/>
          <w:kern w:val="21"/>
          <w:sz w:val="32"/>
          <w:szCs w:val="32"/>
          <w:lang w:eastAsia="zh-CN"/>
        </w:rPr>
        <w:t>，</w:t>
      </w:r>
      <w:r>
        <w:rPr>
          <w:rFonts w:hint="eastAsia" w:ascii="仿宋_GB2312" w:hAnsi="仿宋_GB2312" w:eastAsia="仿宋_GB2312" w:cs="仿宋_GB2312"/>
          <w:kern w:val="21"/>
          <w:sz w:val="32"/>
          <w:szCs w:val="32"/>
        </w:rPr>
        <w:t>持续做优“吴优颐养”服务品牌。</w:t>
      </w:r>
    </w:p>
    <w:p w14:paraId="099914A7">
      <w:pPr>
        <w:keepNext w:val="0"/>
        <w:keepLines w:val="0"/>
        <w:pageBreakBefore w:val="0"/>
        <w:kinsoku/>
        <w:wordWrap/>
        <w:overflowPunct w:val="0"/>
        <w:topLinePunct/>
        <w:autoSpaceDE/>
        <w:autoSpaceDN/>
        <w:bidi w:val="0"/>
        <w:adjustRightInd/>
        <w:spacing w:line="560" w:lineRule="exact"/>
        <w:ind w:firstLine="643" w:firstLineChars="200"/>
        <w:textAlignment w:val="auto"/>
        <w:rPr>
          <w:rFonts w:hint="eastAsia" w:ascii="仿宋_GB2312" w:hAnsi="仿宋_GB2312" w:eastAsia="仿宋_GB2312" w:cs="仿宋_GB2312"/>
          <w:kern w:val="21"/>
          <w:sz w:val="32"/>
          <w:szCs w:val="32"/>
        </w:rPr>
      </w:pPr>
      <w:bookmarkStart w:id="535" w:name="_Toc3449"/>
      <w:bookmarkStart w:id="536" w:name="_Toc23834787"/>
      <w:bookmarkStart w:id="537" w:name="_Toc465782982"/>
      <w:bookmarkStart w:id="538" w:name="_Toc563"/>
      <w:bookmarkStart w:id="539" w:name="_Toc324"/>
      <w:r>
        <w:rPr>
          <w:rStyle w:val="46"/>
          <w:rFonts w:hint="eastAsia" w:ascii="仿宋_GB2312" w:hAnsi="仿宋_GB2312" w:eastAsia="仿宋_GB2312" w:cs="Times New Roman"/>
          <w:b/>
          <w:bCs/>
          <w:kern w:val="21"/>
          <w:sz w:val="32"/>
          <w:szCs w:val="32"/>
          <w:lang w:bidi="ar"/>
        </w:rPr>
        <w:t>完善社会保障体系</w:t>
      </w:r>
      <w:bookmarkEnd w:id="535"/>
      <w:bookmarkEnd w:id="536"/>
      <w:bookmarkEnd w:id="537"/>
      <w:bookmarkEnd w:id="538"/>
      <w:r>
        <w:rPr>
          <w:rStyle w:val="46"/>
          <w:rFonts w:hint="eastAsia" w:ascii="仿宋_GB2312" w:hAnsi="仿宋_GB2312" w:eastAsia="仿宋_GB2312" w:cs="Times New Roman"/>
          <w:b/>
          <w:bCs/>
          <w:kern w:val="21"/>
          <w:sz w:val="32"/>
          <w:szCs w:val="32"/>
          <w:lang w:bidi="ar"/>
        </w:rPr>
        <w:t>。</w:t>
      </w:r>
      <w:bookmarkEnd w:id="539"/>
      <w:r>
        <w:rPr>
          <w:rFonts w:hint="eastAsia" w:ascii="仿宋_GB2312" w:hAnsi="仿宋_GB2312" w:eastAsia="仿宋_GB2312" w:cs="仿宋_GB2312"/>
          <w:kern w:val="21"/>
          <w:sz w:val="32"/>
          <w:szCs w:val="32"/>
        </w:rPr>
        <w:t>实施“数据找人”社保扩面专项行动，推进社保参保扩面提质，实现法定人群应保尽保。完善基本医保、大病保险、医疗救助三重保障制度，实现“一站式”结算全覆盖。落实财政补助政策，</w:t>
      </w:r>
      <w:r>
        <w:rPr>
          <w:rFonts w:hint="eastAsia" w:ascii="仿宋_GB2312" w:hAnsi="仿宋_GB2312" w:eastAsia="仿宋_GB2312" w:cs="仿宋_GB2312"/>
          <w:kern w:val="21"/>
          <w:sz w:val="32"/>
          <w:szCs w:val="32"/>
          <w:lang w:val="en-US" w:eastAsia="zh-CN"/>
        </w:rPr>
        <w:t>保障</w:t>
      </w:r>
      <w:r>
        <w:rPr>
          <w:rFonts w:hint="eastAsia" w:ascii="仿宋_GB2312" w:hAnsi="仿宋_GB2312" w:eastAsia="仿宋_GB2312" w:cs="仿宋_GB2312"/>
          <w:kern w:val="21"/>
          <w:sz w:val="32"/>
          <w:szCs w:val="32"/>
        </w:rPr>
        <w:t>困难群众按规定参加居民医疗保险全覆盖。稳妥有序实施渐进式延迟法定退休年龄等重大改革。</w:t>
      </w:r>
      <w:r>
        <w:rPr>
          <w:rFonts w:hint="eastAsia" w:ascii="仿宋_GB2312" w:hAnsi="仿宋_GB2312" w:eastAsia="仿宋_GB2312" w:cs="仿宋_GB2312"/>
          <w:kern w:val="21"/>
          <w:sz w:val="32"/>
          <w:szCs w:val="32"/>
          <w:lang w:eastAsia="zh-CN"/>
        </w:rPr>
        <w:t>大力发展</w:t>
      </w:r>
      <w:r>
        <w:rPr>
          <w:rFonts w:hint="eastAsia" w:ascii="仿宋_GB2312" w:hAnsi="仿宋_GB2312" w:eastAsia="仿宋_GB2312" w:cs="仿宋_GB2312"/>
          <w:kern w:val="21"/>
          <w:sz w:val="32"/>
          <w:szCs w:val="32"/>
        </w:rPr>
        <w:t>企业年金和个人养老金制度，落实多层次、多支柱养老保险体系建设。持续扩大公积金制度</w:t>
      </w:r>
      <w:r>
        <w:rPr>
          <w:rFonts w:hint="eastAsia" w:ascii="仿宋_GB2312" w:hAnsi="仿宋_GB2312" w:eastAsia="仿宋_GB2312" w:cs="仿宋_GB2312"/>
          <w:kern w:val="21"/>
          <w:sz w:val="32"/>
          <w:szCs w:val="32"/>
          <w:lang w:eastAsia="zh-CN"/>
        </w:rPr>
        <w:t>、</w:t>
      </w:r>
      <w:r>
        <w:rPr>
          <w:rFonts w:hint="eastAsia" w:ascii="仿宋_GB2312" w:hAnsi="仿宋_GB2312" w:eastAsia="仿宋_GB2312" w:cs="仿宋_GB2312"/>
          <w:color w:val="auto"/>
          <w:sz w:val="32"/>
          <w:szCs w:val="32"/>
          <w:lang w:val="en-US" w:eastAsia="zh-CN"/>
        </w:rPr>
        <w:t>失业保险、工伤保险</w:t>
      </w:r>
      <w:r>
        <w:rPr>
          <w:rFonts w:hint="eastAsia" w:ascii="仿宋_GB2312" w:hAnsi="仿宋_GB2312" w:eastAsia="仿宋_GB2312" w:cs="仿宋_GB2312"/>
          <w:kern w:val="21"/>
          <w:sz w:val="32"/>
          <w:szCs w:val="32"/>
        </w:rPr>
        <w:t>覆盖面，让政策红利惠及全业态从业人员。提升退休人员社会化管理服务水平，擦亮“乐龄吴江·社保添福”品牌。</w:t>
      </w:r>
      <w:r>
        <w:rPr>
          <w:rFonts w:hint="eastAsia" w:ascii="仿宋_GB2312" w:hAnsi="仿宋_GB2312" w:eastAsia="仿宋_GB2312" w:cs="仿宋_GB2312"/>
          <w:kern w:val="21"/>
          <w:sz w:val="32"/>
          <w:szCs w:val="32"/>
          <w:lang w:eastAsia="zh-CN"/>
        </w:rPr>
        <w:t>持续</w:t>
      </w:r>
      <w:r>
        <w:rPr>
          <w:rFonts w:hint="eastAsia" w:ascii="仿宋_GB2312" w:hAnsi="仿宋_GB2312" w:eastAsia="仿宋_GB2312" w:cs="仿宋_GB2312"/>
          <w:kern w:val="21"/>
          <w:sz w:val="32"/>
          <w:szCs w:val="32"/>
          <w:lang w:val="en-US" w:eastAsia="zh-CN"/>
        </w:rPr>
        <w:t>加强</w:t>
      </w:r>
      <w:r>
        <w:rPr>
          <w:rFonts w:hint="eastAsia" w:ascii="仿宋_GB2312" w:hAnsi="仿宋_GB2312" w:eastAsia="仿宋_GB2312" w:cs="仿宋_GB2312"/>
          <w:kern w:val="21"/>
          <w:sz w:val="32"/>
          <w:szCs w:val="32"/>
          <w:lang w:eastAsia="zh-CN"/>
        </w:rPr>
        <w:t>殡葬管理，</w:t>
      </w:r>
      <w:r>
        <w:rPr>
          <w:rFonts w:hint="eastAsia" w:ascii="仿宋_GB2312" w:hAnsi="仿宋_GB2312" w:eastAsia="仿宋_GB2312" w:cs="仿宋_GB2312"/>
          <w:kern w:val="21"/>
          <w:sz w:val="32"/>
          <w:szCs w:val="32"/>
          <w:lang w:val="en-US" w:eastAsia="zh-CN"/>
        </w:rPr>
        <w:t>着力营造文明、规范、惠民的殡葬服务新生态</w:t>
      </w:r>
      <w:r>
        <w:rPr>
          <w:rFonts w:hint="eastAsia" w:ascii="仿宋_GB2312" w:hAnsi="仿宋_GB2312" w:eastAsia="仿宋_GB2312" w:cs="仿宋_GB2312"/>
          <w:kern w:val="21"/>
          <w:sz w:val="32"/>
          <w:szCs w:val="32"/>
          <w:lang w:eastAsia="zh-CN"/>
        </w:rPr>
        <w:t>。</w:t>
      </w:r>
      <w:r>
        <w:rPr>
          <w:rFonts w:hint="eastAsia" w:ascii="仿宋_GB2312" w:hAnsi="仿宋_GB2312" w:eastAsia="仿宋_GB2312" w:cs="仿宋_GB2312"/>
          <w:kern w:val="21"/>
          <w:sz w:val="32"/>
          <w:szCs w:val="32"/>
        </w:rPr>
        <w:t>加强退役军人服务保障，巩固军政军民团结。健全分层分类社会救助体系，</w:t>
      </w:r>
      <w:r>
        <w:rPr>
          <w:rFonts w:hint="default" w:ascii="仿宋_GB2312" w:hAnsi="仿宋_GB2312" w:eastAsia="仿宋_GB2312" w:cs="仿宋_GB2312"/>
          <w:color w:val="auto"/>
          <w:sz w:val="32"/>
          <w:szCs w:val="32"/>
          <w:lang w:val="en-US" w:eastAsia="zh-CN"/>
        </w:rPr>
        <w:t>积极发展社会救助</w:t>
      </w:r>
      <w:r>
        <w:rPr>
          <w:rFonts w:hint="eastAsia" w:ascii="仿宋_GB2312" w:hAnsi="仿宋_GB2312" w:eastAsia="仿宋_GB2312" w:cs="仿宋_GB2312"/>
          <w:color w:val="auto"/>
          <w:sz w:val="32"/>
          <w:szCs w:val="32"/>
          <w:lang w:val="en-US" w:eastAsia="zh-CN"/>
        </w:rPr>
        <w:t>、社会福利、</w:t>
      </w:r>
      <w:r>
        <w:rPr>
          <w:rFonts w:hint="eastAsia" w:ascii="仿宋_GB2312" w:hAnsi="仿宋_GB2312" w:eastAsia="仿宋_GB2312" w:cs="仿宋_GB2312"/>
          <w:snapToGrid w:val="0"/>
          <w:sz w:val="32"/>
          <w:szCs w:val="32"/>
        </w:rPr>
        <w:t>公益慈善</w:t>
      </w:r>
      <w:r>
        <w:rPr>
          <w:rFonts w:hint="eastAsia" w:ascii="仿宋_GB2312" w:hAnsi="仿宋_GB2312" w:eastAsia="仿宋_GB2312" w:cs="仿宋_GB2312"/>
          <w:snapToGrid w:val="0"/>
          <w:sz w:val="32"/>
          <w:szCs w:val="32"/>
          <w:lang w:eastAsia="zh-CN"/>
        </w:rPr>
        <w:t>等</w:t>
      </w:r>
      <w:r>
        <w:rPr>
          <w:rFonts w:hint="eastAsia" w:ascii="仿宋_GB2312" w:hAnsi="仿宋_GB2312" w:eastAsia="仿宋_GB2312" w:cs="仿宋_GB2312"/>
          <w:snapToGrid w:val="0"/>
          <w:sz w:val="32"/>
          <w:szCs w:val="32"/>
        </w:rPr>
        <w:t>事业</w:t>
      </w:r>
      <w:r>
        <w:rPr>
          <w:rFonts w:hint="default" w:ascii="仿宋_GB2312" w:hAnsi="仿宋_GB2312" w:eastAsia="仿宋_GB2312" w:cs="仿宋_GB2312"/>
          <w:color w:val="auto"/>
          <w:sz w:val="32"/>
          <w:szCs w:val="32"/>
          <w:lang w:val="en-US" w:eastAsia="zh-CN"/>
        </w:rPr>
        <w:t>，</w:t>
      </w:r>
      <w:r>
        <w:rPr>
          <w:rFonts w:hint="eastAsia" w:ascii="仿宋_GB2312" w:hAnsi="仿宋_GB2312" w:eastAsia="仿宋_GB2312" w:cs="仿宋_GB2312"/>
          <w:kern w:val="21"/>
          <w:sz w:val="32"/>
          <w:szCs w:val="32"/>
          <w:lang w:bidi="ar"/>
        </w:rPr>
        <w:t>开展“梦想改造+”“蒲公英计划”等行动，</w:t>
      </w:r>
      <w:r>
        <w:rPr>
          <w:rFonts w:hint="eastAsia" w:ascii="仿宋_GB2312" w:hAnsi="仿宋_GB2312" w:eastAsia="仿宋_GB2312" w:cs="仿宋_GB2312"/>
          <w:color w:val="auto"/>
          <w:sz w:val="32"/>
          <w:szCs w:val="32"/>
          <w:lang w:val="en-US" w:eastAsia="zh-CN"/>
        </w:rPr>
        <w:t>推动社会救助扩围增效</w:t>
      </w:r>
      <w:r>
        <w:rPr>
          <w:rFonts w:hint="default" w:ascii="仿宋_GB2312" w:hAnsi="仿宋_GB2312" w:eastAsia="仿宋_GB2312" w:cs="仿宋_GB2312"/>
          <w:color w:val="auto"/>
          <w:sz w:val="32"/>
          <w:szCs w:val="32"/>
          <w:lang w:val="en-US" w:eastAsia="zh-CN"/>
        </w:rPr>
        <w:t>。</w:t>
      </w:r>
      <w:r>
        <w:rPr>
          <w:rFonts w:hint="eastAsia" w:ascii="仿宋_GB2312" w:hAnsi="仿宋_GB2312" w:eastAsia="仿宋_GB2312" w:cs="仿宋_GB2312"/>
          <w:kern w:val="21"/>
          <w:sz w:val="32"/>
          <w:szCs w:val="32"/>
          <w:lang w:eastAsia="zh-CN" w:bidi="ar"/>
        </w:rPr>
        <w:t>完善</w:t>
      </w:r>
      <w:r>
        <w:rPr>
          <w:rFonts w:hint="eastAsia" w:ascii="仿宋_GB2312" w:hAnsi="仿宋_GB2312" w:eastAsia="仿宋_GB2312" w:cs="仿宋_GB2312"/>
          <w:kern w:val="21"/>
          <w:sz w:val="32"/>
          <w:szCs w:val="32"/>
        </w:rPr>
        <w:t>空巢老人、困境儿童、残疾人等群体服务保障</w:t>
      </w:r>
      <w:r>
        <w:rPr>
          <w:rFonts w:hint="eastAsia" w:ascii="仿宋_GB2312" w:hAnsi="仿宋_GB2312" w:eastAsia="仿宋_GB2312" w:cs="仿宋_GB2312"/>
          <w:kern w:val="21"/>
          <w:sz w:val="32"/>
          <w:szCs w:val="32"/>
          <w:lang w:eastAsia="zh-CN"/>
        </w:rPr>
        <w:t>体系</w:t>
      </w:r>
      <w:r>
        <w:rPr>
          <w:rFonts w:hint="eastAsia" w:ascii="仿宋_GB2312" w:hAnsi="仿宋_GB2312" w:eastAsia="仿宋_GB2312" w:cs="仿宋_GB2312"/>
          <w:kern w:val="21"/>
          <w:sz w:val="32"/>
          <w:szCs w:val="32"/>
        </w:rPr>
        <w:t>，</w:t>
      </w:r>
      <w:r>
        <w:rPr>
          <w:rFonts w:hint="eastAsia" w:ascii="仿宋_GB2312" w:hAnsi="仿宋_GB2312" w:eastAsia="仿宋_GB2312" w:cs="仿宋_GB2312"/>
          <w:kern w:val="21"/>
          <w:sz w:val="32"/>
          <w:szCs w:val="32"/>
          <w:lang w:eastAsia="zh-CN"/>
        </w:rPr>
        <w:t>保障妇女儿童合法权益。</w:t>
      </w:r>
    </w:p>
    <w:p w14:paraId="18E598A8">
      <w:pPr>
        <w:keepNext w:val="0"/>
        <w:keepLines w:val="0"/>
        <w:pageBreakBefore w:val="0"/>
        <w:kinsoku/>
        <w:wordWrap/>
        <w:overflowPunct w:val="0"/>
        <w:topLinePunct/>
        <w:autoSpaceDE/>
        <w:autoSpaceDN/>
        <w:bidi w:val="0"/>
        <w:adjustRightInd/>
        <w:spacing w:line="560" w:lineRule="exact"/>
        <w:ind w:firstLine="643" w:firstLineChars="200"/>
        <w:textAlignment w:val="auto"/>
        <w:rPr>
          <w:rFonts w:hint="default" w:ascii="仿宋_GB2312" w:hAnsi="仿宋_GB2312" w:eastAsia="仿宋_GB2312" w:cs="仿宋_GB2312"/>
          <w:kern w:val="21"/>
          <w:sz w:val="32"/>
          <w:szCs w:val="32"/>
          <w:lang w:val="en-US" w:eastAsia="zh-CN"/>
        </w:rPr>
      </w:pPr>
      <w:bookmarkStart w:id="540" w:name="_Toc1998450560"/>
      <w:bookmarkStart w:id="541" w:name="_Toc1402460294"/>
      <w:bookmarkStart w:id="542" w:name="_Toc3929"/>
      <w:bookmarkStart w:id="543" w:name="_Toc32284"/>
      <w:bookmarkStart w:id="544" w:name="_Toc20326"/>
      <w:r>
        <w:rPr>
          <w:rStyle w:val="46"/>
          <w:rFonts w:hint="eastAsia" w:ascii="仿宋_GB2312" w:hAnsi="仿宋_GB2312" w:eastAsia="仿宋_GB2312" w:cs="Times New Roman"/>
          <w:kern w:val="21"/>
          <w:sz w:val="32"/>
          <w:szCs w:val="32"/>
          <w:lang w:bidi="ar"/>
        </w:rPr>
        <w:t>推动房地产高质量发展</w:t>
      </w:r>
      <w:bookmarkEnd w:id="540"/>
      <w:bookmarkEnd w:id="541"/>
      <w:bookmarkEnd w:id="542"/>
      <w:bookmarkEnd w:id="543"/>
      <w:bookmarkEnd w:id="544"/>
      <w:r>
        <w:rPr>
          <w:rFonts w:hint="eastAsia" w:ascii="仿宋_GB2312" w:hAnsi="仿宋_GB2312" w:eastAsia="仿宋_GB2312" w:cs="仿宋_GB2312"/>
          <w:b/>
          <w:bCs/>
          <w:kern w:val="21"/>
          <w:sz w:val="32"/>
          <w:szCs w:val="32"/>
          <w:lang w:bidi="ar"/>
        </w:rPr>
        <w:t>。</w:t>
      </w:r>
      <w:r>
        <w:rPr>
          <w:rFonts w:hint="eastAsia" w:ascii="仿宋_GB2312" w:hAnsi="仿宋_GB2312" w:eastAsia="仿宋_GB2312" w:cs="仿宋_GB2312"/>
          <w:kern w:val="21"/>
          <w:sz w:val="32"/>
          <w:szCs w:val="32"/>
        </w:rPr>
        <w:t>动态适应新型城镇化发展趋势和房地产供求关系变化，完善刚性和多样化改善性住房供给，加快构建房地产发展新模式。优化保障性住房供给，更好满足低收入家庭、新市民、青年人及引进人才等群体的居住需求。推进“好房子”建设，增加高品质住宅供给，全链条提升住房设计、建造、维护、服务水平，推动全屋智能、智能家居、装修、施工等行业与房地产业融合发展。鼓励既有多层建筑加装电梯，提高小区物业服务质量，高标准配建社区商业、文体休闲等公共服务设施，构建功能复合、服务便捷的现代生活街区。</w:t>
      </w:r>
      <w:r>
        <w:rPr>
          <w:rFonts w:hint="eastAsia" w:ascii="仿宋_GB2312" w:hAnsi="仿宋_GB2312" w:eastAsia="仿宋_GB2312" w:cs="仿宋_GB2312"/>
          <w:kern w:val="21"/>
          <w:sz w:val="32"/>
          <w:szCs w:val="32"/>
          <w:lang w:eastAsia="zh-CN"/>
        </w:rPr>
        <w:t>到</w:t>
      </w:r>
      <w:r>
        <w:rPr>
          <w:rFonts w:hint="eastAsia" w:ascii="仿宋_GB2312" w:hAnsi="仿宋_GB2312" w:eastAsia="仿宋_GB2312" w:cs="仿宋_GB2312"/>
          <w:kern w:val="21"/>
          <w:sz w:val="32"/>
          <w:szCs w:val="32"/>
          <w:lang w:val="en-US" w:eastAsia="zh-CN"/>
        </w:rPr>
        <w:t>2030年，城镇常住人口保障性住房覆盖率达27.03%。</w:t>
      </w:r>
    </w:p>
    <w:p w14:paraId="4283C760">
      <w:pPr>
        <w:pStyle w:val="3"/>
        <w:keepNext w:val="0"/>
        <w:keepLines w:val="0"/>
        <w:pageBreakBefore w:val="0"/>
        <w:kinsoku/>
        <w:wordWrap/>
        <w:overflowPunct w:val="0"/>
        <w:topLinePunct/>
        <w:autoSpaceDE/>
        <w:autoSpaceDN/>
        <w:bidi w:val="0"/>
        <w:adjustRightInd/>
        <w:spacing w:before="156" w:after="156" w:line="560" w:lineRule="exact"/>
        <w:textAlignment w:val="auto"/>
        <w:rPr>
          <w:rFonts w:ascii="楷体_GB2312" w:hAnsi="楷体_GB2312" w:eastAsia="楷体_GB2312" w:cs="楷体_GB2312"/>
          <w:kern w:val="21"/>
        </w:rPr>
      </w:pPr>
      <w:bookmarkStart w:id="545" w:name="_Toc19410"/>
      <w:bookmarkStart w:id="546" w:name="_Toc28479"/>
      <w:bookmarkStart w:id="547" w:name="_Toc32408"/>
      <w:bookmarkStart w:id="548" w:name="_Toc349290331"/>
      <w:bookmarkStart w:id="549" w:name="_Toc1993"/>
      <w:bookmarkStart w:id="550" w:name="_Toc6339"/>
      <w:bookmarkStart w:id="551" w:name="_Toc22296"/>
      <w:bookmarkStart w:id="552" w:name="_Toc76409809"/>
      <w:bookmarkStart w:id="553" w:name="_Toc462"/>
      <w:bookmarkStart w:id="554" w:name="_Toc910447094"/>
      <w:r>
        <w:rPr>
          <w:rFonts w:ascii="楷体_GB2312" w:hAnsi="楷体_GB2312" w:eastAsia="楷体_GB2312" w:cs="楷体_GB2312"/>
          <w:kern w:val="21"/>
        </w:rPr>
        <w:t xml:space="preserve">第二节 </w:t>
      </w:r>
      <w:r>
        <w:rPr>
          <w:rFonts w:hint="eastAsia" w:ascii="楷体_GB2312" w:hAnsi="楷体_GB2312" w:eastAsia="楷体_GB2312" w:cs="楷体_GB2312"/>
          <w:kern w:val="21"/>
          <w:lang w:val="en-US" w:eastAsia="zh-CN"/>
        </w:rPr>
        <w:t xml:space="preserve"> </w:t>
      </w:r>
      <w:r>
        <w:rPr>
          <w:rFonts w:ascii="楷体_GB2312" w:hAnsi="楷体_GB2312" w:eastAsia="楷体_GB2312" w:cs="楷体_GB2312"/>
          <w:kern w:val="21"/>
        </w:rPr>
        <w:t>大力促进富民增收</w:t>
      </w:r>
      <w:bookmarkEnd w:id="545"/>
      <w:bookmarkEnd w:id="546"/>
      <w:bookmarkEnd w:id="547"/>
      <w:bookmarkEnd w:id="548"/>
      <w:bookmarkEnd w:id="549"/>
      <w:bookmarkEnd w:id="550"/>
      <w:bookmarkEnd w:id="551"/>
      <w:bookmarkEnd w:id="552"/>
      <w:bookmarkEnd w:id="553"/>
      <w:bookmarkEnd w:id="554"/>
    </w:p>
    <w:p w14:paraId="0282D79D">
      <w:pPr>
        <w:keepNext w:val="0"/>
        <w:keepLines w:val="0"/>
        <w:pageBreakBefore w:val="0"/>
        <w:kinsoku/>
        <w:wordWrap/>
        <w:overflowPunct w:val="0"/>
        <w:topLinePunct/>
        <w:autoSpaceDE/>
        <w:autoSpaceDN/>
        <w:bidi w:val="0"/>
        <w:adjustRightInd/>
        <w:spacing w:line="560" w:lineRule="exact"/>
        <w:ind w:firstLine="640" w:firstLineChars="200"/>
        <w:textAlignment w:val="auto"/>
        <w:rPr>
          <w:rFonts w:hint="eastAsia" w:ascii="仿宋_GB2312" w:hAnsi="仿宋_GB2312" w:eastAsia="仿宋_GB2312" w:cs="仿宋_GB2312"/>
          <w:b/>
          <w:bCs/>
          <w:kern w:val="21"/>
          <w:sz w:val="32"/>
          <w:szCs w:val="32"/>
        </w:rPr>
      </w:pPr>
      <w:r>
        <w:rPr>
          <w:rFonts w:hint="eastAsia" w:ascii="仿宋_GB2312" w:hAnsi="仿宋_GB2312" w:eastAsia="仿宋_GB2312" w:cs="仿宋_GB2312"/>
          <w:kern w:val="21"/>
          <w:sz w:val="32"/>
          <w:szCs w:val="32"/>
          <w:lang w:bidi="ar"/>
        </w:rPr>
        <w:t>坚持居民收入增长和经济增长基本同步、劳动报酬提高和劳动生产率提高基本同步，推动低收入群体收入增长，扩大中等收入群体规模，加快形成以中等收入群体为主体的橄榄型社会，打造共同富裕新样板。</w:t>
      </w:r>
    </w:p>
    <w:p w14:paraId="0A87866F">
      <w:pPr>
        <w:keepNext w:val="0"/>
        <w:keepLines w:val="0"/>
        <w:pageBreakBefore w:val="0"/>
        <w:kinsoku/>
        <w:wordWrap/>
        <w:overflowPunct w:val="0"/>
        <w:topLinePunct/>
        <w:autoSpaceDE/>
        <w:autoSpaceDN/>
        <w:bidi w:val="0"/>
        <w:adjustRightInd/>
        <w:spacing w:line="560" w:lineRule="exact"/>
        <w:ind w:firstLine="643" w:firstLineChars="200"/>
        <w:textAlignment w:val="auto"/>
        <w:rPr>
          <w:rStyle w:val="46"/>
          <w:rFonts w:hint="eastAsia" w:ascii="仿宋_GB2312" w:hAnsi="仿宋_GB2312" w:eastAsia="仿宋_GB2312" w:cs="Times New Roman"/>
          <w:b/>
          <w:bCs/>
          <w:kern w:val="21"/>
          <w:sz w:val="32"/>
          <w:szCs w:val="32"/>
        </w:rPr>
      </w:pPr>
      <w:bookmarkStart w:id="555" w:name="_Toc28949"/>
      <w:bookmarkStart w:id="556" w:name="_Toc22842"/>
      <w:bookmarkStart w:id="557" w:name="_Toc128633218"/>
      <w:bookmarkStart w:id="558" w:name="_Toc118775920"/>
      <w:bookmarkStart w:id="559" w:name="_Toc15345"/>
      <w:r>
        <w:rPr>
          <w:rStyle w:val="46"/>
          <w:rFonts w:hint="eastAsia" w:ascii="仿宋_GB2312" w:hAnsi="仿宋_GB2312" w:eastAsia="仿宋_GB2312" w:cs="Times New Roman"/>
          <w:b/>
          <w:bCs/>
          <w:kern w:val="21"/>
          <w:sz w:val="32"/>
          <w:szCs w:val="32"/>
          <w:lang w:eastAsia="zh-CN"/>
        </w:rPr>
        <w:t>促进高质量充分</w:t>
      </w:r>
      <w:r>
        <w:rPr>
          <w:rStyle w:val="46"/>
          <w:rFonts w:hint="eastAsia" w:ascii="仿宋_GB2312" w:hAnsi="仿宋_GB2312" w:eastAsia="仿宋_GB2312" w:cs="Times New Roman"/>
          <w:b/>
          <w:bCs/>
          <w:kern w:val="21"/>
          <w:sz w:val="32"/>
          <w:szCs w:val="32"/>
        </w:rPr>
        <w:t>就业</w:t>
      </w:r>
      <w:bookmarkEnd w:id="555"/>
      <w:bookmarkEnd w:id="556"/>
      <w:r>
        <w:rPr>
          <w:rFonts w:hint="eastAsia" w:ascii="仿宋_GB2312" w:hAnsi="仿宋_GB2312" w:eastAsia="仿宋_GB2312" w:cs="仿宋_GB2312"/>
          <w:b/>
          <w:bCs/>
          <w:kern w:val="21"/>
          <w:sz w:val="32"/>
          <w:szCs w:val="32"/>
        </w:rPr>
        <w:t>。</w:t>
      </w:r>
      <w:r>
        <w:rPr>
          <w:rFonts w:hint="eastAsia" w:ascii="仿宋_GB2312" w:hAnsi="仿宋_GB2312" w:eastAsia="仿宋_GB2312" w:cs="仿宋_GB2312"/>
          <w:b w:val="0"/>
          <w:bCs w:val="0"/>
          <w:kern w:val="21"/>
          <w:sz w:val="32"/>
          <w:szCs w:val="32"/>
          <w:highlight w:val="none"/>
          <w:lang w:eastAsia="zh-CN"/>
        </w:rPr>
        <w:t>深入实施</w:t>
      </w:r>
      <w:r>
        <w:rPr>
          <w:rFonts w:hint="eastAsia" w:ascii="仿宋_GB2312" w:hAnsi="仿宋_GB2312" w:eastAsia="仿宋_GB2312" w:cs="仿宋_GB2312"/>
          <w:kern w:val="21"/>
          <w:sz w:val="32"/>
          <w:szCs w:val="32"/>
          <w:highlight w:val="none"/>
        </w:rPr>
        <w:t>就业优先战略，</w:t>
      </w:r>
      <w:r>
        <w:rPr>
          <w:rFonts w:hint="eastAsia" w:ascii="仿宋_GB2312" w:hAnsi="仿宋_GB2312" w:eastAsia="仿宋_GB2312" w:cs="仿宋_GB2312"/>
          <w:kern w:val="21"/>
          <w:sz w:val="32"/>
          <w:szCs w:val="32"/>
          <w:lang w:eastAsia="zh-CN"/>
        </w:rPr>
        <w:t>构建就业友好型发展</w:t>
      </w:r>
      <w:r>
        <w:rPr>
          <w:rFonts w:hint="eastAsia" w:ascii="仿宋_GB2312" w:hAnsi="仿宋_GB2312" w:eastAsia="仿宋_GB2312" w:cs="仿宋_GB2312"/>
          <w:kern w:val="21"/>
          <w:sz w:val="32"/>
          <w:szCs w:val="32"/>
          <w:lang w:val="en-US" w:eastAsia="zh-CN"/>
        </w:rPr>
        <w:t>模式</w:t>
      </w:r>
      <w:r>
        <w:rPr>
          <w:rFonts w:hint="eastAsia" w:ascii="仿宋_GB2312" w:hAnsi="仿宋_GB2312" w:eastAsia="仿宋_GB2312" w:cs="仿宋_GB2312"/>
          <w:kern w:val="21"/>
          <w:sz w:val="32"/>
          <w:szCs w:val="32"/>
          <w:lang w:eastAsia="zh-CN"/>
        </w:rPr>
        <w:t>。聚焦就业友好型城市建设，</w:t>
      </w:r>
      <w:r>
        <w:rPr>
          <w:rFonts w:hint="eastAsia" w:ascii="仿宋_GB2312" w:hAnsi="仿宋_GB2312" w:eastAsia="仿宋_GB2312" w:cs="仿宋_GB2312"/>
          <w:kern w:val="21"/>
          <w:sz w:val="32"/>
          <w:szCs w:val="32"/>
          <w:lang w:val="en-US" w:eastAsia="zh-CN"/>
        </w:rPr>
        <w:t>擦亮</w:t>
      </w:r>
      <w:r>
        <w:rPr>
          <w:rFonts w:hint="eastAsia" w:ascii="仿宋_GB2312" w:hAnsi="仿宋_GB2312" w:eastAsia="仿宋_GB2312" w:cs="仿宋_GB2312"/>
          <w:kern w:val="21"/>
          <w:sz w:val="32"/>
          <w:szCs w:val="32"/>
        </w:rPr>
        <w:t>“就在苏州·乐业吴江”品牌</w:t>
      </w:r>
      <w:r>
        <w:rPr>
          <w:rFonts w:hint="eastAsia" w:ascii="仿宋_GB2312" w:hAnsi="仿宋_GB2312" w:eastAsia="仿宋_GB2312" w:cs="仿宋_GB2312"/>
          <w:kern w:val="21"/>
          <w:sz w:val="32"/>
          <w:szCs w:val="32"/>
          <w:lang w:eastAsia="zh-CN"/>
        </w:rPr>
        <w:t>建设</w:t>
      </w:r>
      <w:r>
        <w:rPr>
          <w:rFonts w:hint="eastAsia" w:ascii="仿宋_GB2312" w:hAnsi="仿宋_GB2312" w:eastAsia="仿宋_GB2312" w:cs="仿宋_GB2312"/>
          <w:kern w:val="21"/>
          <w:sz w:val="32"/>
          <w:szCs w:val="32"/>
        </w:rPr>
        <w:t>，构建“1+2+3+4+N”就业友好生态服务体系</w:t>
      </w:r>
      <w:r>
        <w:rPr>
          <w:rFonts w:hint="eastAsia" w:ascii="仿宋_GB2312" w:hAnsi="仿宋_GB2312" w:eastAsia="仿宋_GB2312" w:cs="仿宋_GB2312"/>
          <w:kern w:val="21"/>
          <w:sz w:val="32"/>
          <w:szCs w:val="32"/>
          <w:lang w:eastAsia="zh-CN"/>
        </w:rPr>
        <w:t>。</w:t>
      </w:r>
      <w:r>
        <w:rPr>
          <w:rFonts w:hint="eastAsia" w:ascii="仿宋_GB2312" w:hAnsi="仿宋_GB2312" w:eastAsia="仿宋_GB2312" w:cs="仿宋_GB2312"/>
          <w:kern w:val="21"/>
          <w:sz w:val="32"/>
          <w:szCs w:val="32"/>
        </w:rPr>
        <w:t>全面</w:t>
      </w:r>
      <w:r>
        <w:rPr>
          <w:rFonts w:hint="eastAsia" w:ascii="仿宋_GB2312" w:hAnsi="仿宋_GB2312" w:eastAsia="仿宋_GB2312" w:cs="仿宋_GB2312"/>
          <w:kern w:val="21"/>
          <w:sz w:val="32"/>
          <w:szCs w:val="32"/>
          <w:lang w:eastAsia="zh-CN"/>
        </w:rPr>
        <w:t>落实就业优先政策，支持企业稳岗扩岗</w:t>
      </w:r>
      <w:r>
        <w:rPr>
          <w:rFonts w:hint="eastAsia" w:ascii="仿宋_GB2312" w:hAnsi="仿宋_GB2312" w:eastAsia="仿宋_GB2312" w:cs="仿宋_GB2312"/>
          <w:kern w:val="21"/>
          <w:sz w:val="32"/>
          <w:szCs w:val="32"/>
        </w:rPr>
        <w:t>。加快构建“15分钟”公共就业服务圈。健全精准</w:t>
      </w:r>
      <w:r>
        <w:rPr>
          <w:rFonts w:hint="eastAsia" w:ascii="仿宋_GB2312" w:hAnsi="仿宋_GB2312" w:eastAsia="仿宋_GB2312" w:cs="仿宋_GB2312"/>
          <w:kern w:val="21"/>
          <w:sz w:val="32"/>
          <w:szCs w:val="32"/>
          <w:lang w:val="en-US" w:eastAsia="zh-CN"/>
        </w:rPr>
        <w:t>化</w:t>
      </w:r>
      <w:r>
        <w:rPr>
          <w:rFonts w:hint="eastAsia" w:ascii="仿宋_GB2312" w:hAnsi="仿宋_GB2312" w:eastAsia="仿宋_GB2312" w:cs="仿宋_GB2312"/>
          <w:kern w:val="21"/>
          <w:sz w:val="32"/>
          <w:szCs w:val="32"/>
        </w:rPr>
        <w:t>就业帮扶机制，扎实做好高校毕业生、就业困难人员、</w:t>
      </w:r>
      <w:r>
        <w:rPr>
          <w:rFonts w:hint="eastAsia" w:ascii="仿宋_GB2312" w:hAnsi="仿宋_GB2312" w:eastAsia="仿宋_GB2312" w:cs="仿宋_GB2312"/>
          <w:kern w:val="21"/>
          <w:sz w:val="32"/>
          <w:szCs w:val="32"/>
          <w:lang w:eastAsia="zh-CN"/>
        </w:rPr>
        <w:t>退役军人、</w:t>
      </w:r>
      <w:r>
        <w:rPr>
          <w:rFonts w:hint="eastAsia" w:ascii="仿宋_GB2312" w:hAnsi="仿宋_GB2312" w:eastAsia="仿宋_GB2312" w:cs="仿宋_GB2312"/>
          <w:kern w:val="21"/>
          <w:sz w:val="32"/>
          <w:szCs w:val="32"/>
        </w:rPr>
        <w:t>退捕渔民等重点群体就业帮扶</w:t>
      </w:r>
      <w:r>
        <w:rPr>
          <w:rFonts w:hint="eastAsia" w:ascii="仿宋_GB2312" w:hAnsi="仿宋_GB2312" w:eastAsia="仿宋_GB2312" w:cs="仿宋_GB2312"/>
          <w:kern w:val="21"/>
          <w:sz w:val="32"/>
          <w:szCs w:val="32"/>
          <w:lang w:eastAsia="zh-CN"/>
        </w:rPr>
        <w:t>，加大公益性岗位开发</w:t>
      </w:r>
      <w:r>
        <w:rPr>
          <w:rFonts w:hint="eastAsia" w:ascii="仿宋_GB2312" w:hAnsi="仿宋_GB2312" w:eastAsia="仿宋_GB2312" w:cs="仿宋_GB2312"/>
          <w:kern w:val="21"/>
          <w:sz w:val="32"/>
          <w:szCs w:val="32"/>
          <w:lang w:val="en-US" w:eastAsia="zh-CN"/>
        </w:rPr>
        <w:t>与</w:t>
      </w:r>
      <w:r>
        <w:rPr>
          <w:rFonts w:hint="eastAsia" w:ascii="仿宋_GB2312" w:hAnsi="仿宋_GB2312" w:eastAsia="仿宋_GB2312" w:cs="仿宋_GB2312"/>
          <w:kern w:val="21"/>
          <w:sz w:val="32"/>
          <w:szCs w:val="32"/>
          <w:lang w:eastAsia="zh-CN"/>
        </w:rPr>
        <w:t>托底安置力度，推动灵活就业、新就业形态健康发展</w:t>
      </w:r>
      <w:r>
        <w:rPr>
          <w:rFonts w:hint="eastAsia" w:ascii="仿宋_GB2312" w:hAnsi="仿宋_GB2312" w:eastAsia="仿宋_GB2312" w:cs="仿宋_GB2312"/>
          <w:kern w:val="21"/>
          <w:sz w:val="32"/>
          <w:szCs w:val="32"/>
        </w:rPr>
        <w:t>。深入实施“创响吴江”全民创业工程</w:t>
      </w:r>
      <w:r>
        <w:rPr>
          <w:rFonts w:hint="eastAsia" w:ascii="仿宋_GB2312" w:hAnsi="仿宋_GB2312" w:eastAsia="仿宋_GB2312" w:cs="仿宋_GB2312"/>
          <w:kern w:val="21"/>
          <w:sz w:val="32"/>
          <w:szCs w:val="32"/>
          <w:lang w:eastAsia="zh-CN"/>
        </w:rPr>
        <w:t>，增强创业带动就业效应</w:t>
      </w:r>
      <w:r>
        <w:rPr>
          <w:rFonts w:hint="eastAsia" w:ascii="仿宋_GB2312" w:hAnsi="仿宋_GB2312" w:eastAsia="仿宋_GB2312" w:cs="仿宋_GB2312"/>
          <w:kern w:val="21"/>
          <w:sz w:val="32"/>
          <w:szCs w:val="32"/>
        </w:rPr>
        <w:t>。开展“技能照亮前程”“技能吴江”行动，</w:t>
      </w:r>
      <w:r>
        <w:rPr>
          <w:rFonts w:hint="eastAsia" w:ascii="仿宋_GB2312" w:hAnsi="仿宋_GB2312" w:eastAsia="仿宋_GB2312" w:cs="仿宋_GB2312"/>
          <w:kern w:val="21"/>
          <w:sz w:val="32"/>
          <w:szCs w:val="32"/>
          <w:lang w:val="en-US" w:eastAsia="zh-CN"/>
        </w:rPr>
        <w:t>加大</w:t>
      </w:r>
      <w:r>
        <w:rPr>
          <w:rFonts w:hint="eastAsia" w:ascii="仿宋_GB2312" w:hAnsi="仿宋_GB2312" w:eastAsia="仿宋_GB2312" w:cs="仿宋_GB2312"/>
          <w:kern w:val="21"/>
          <w:sz w:val="32"/>
          <w:szCs w:val="32"/>
        </w:rPr>
        <w:t>面向先进制造业、现代服务业职业技能培训</w:t>
      </w:r>
      <w:r>
        <w:rPr>
          <w:rFonts w:hint="eastAsia" w:ascii="仿宋_GB2312" w:hAnsi="仿宋_GB2312" w:eastAsia="仿宋_GB2312" w:cs="仿宋_GB2312"/>
          <w:kern w:val="21"/>
          <w:sz w:val="32"/>
          <w:szCs w:val="32"/>
          <w:lang w:val="en-US" w:eastAsia="zh-CN"/>
        </w:rPr>
        <w:t>力度</w:t>
      </w:r>
      <w:r>
        <w:rPr>
          <w:rFonts w:hint="eastAsia" w:ascii="仿宋_GB2312" w:hAnsi="仿宋_GB2312" w:eastAsia="仿宋_GB2312" w:cs="仿宋_GB2312"/>
          <w:kern w:val="21"/>
          <w:sz w:val="32"/>
          <w:szCs w:val="32"/>
        </w:rPr>
        <w:t>。规范零工市场</w:t>
      </w:r>
      <w:r>
        <w:rPr>
          <w:rFonts w:hint="eastAsia" w:ascii="仿宋_GB2312" w:hAnsi="仿宋_GB2312" w:eastAsia="仿宋_GB2312" w:cs="仿宋_GB2312"/>
          <w:kern w:val="21"/>
          <w:sz w:val="32"/>
          <w:szCs w:val="32"/>
          <w:lang w:val="en-US" w:eastAsia="zh-CN"/>
        </w:rPr>
        <w:t>与</w:t>
      </w:r>
      <w:r>
        <w:rPr>
          <w:rFonts w:hint="eastAsia" w:ascii="仿宋_GB2312" w:hAnsi="仿宋_GB2312" w:eastAsia="仿宋_GB2312" w:cs="仿宋_GB2312"/>
          <w:kern w:val="21"/>
          <w:sz w:val="32"/>
          <w:szCs w:val="32"/>
        </w:rPr>
        <w:t>人力资源市场建设，健全劳动争议联合调处协作机制，</w:t>
      </w:r>
      <w:r>
        <w:rPr>
          <w:rFonts w:hint="eastAsia" w:ascii="仿宋_GB2312" w:hAnsi="仿宋_GB2312" w:eastAsia="仿宋_GB2312" w:cs="仿宋_GB2312"/>
          <w:kern w:val="21"/>
          <w:sz w:val="32"/>
          <w:szCs w:val="32"/>
          <w:lang w:val="en-US" w:eastAsia="zh-CN"/>
        </w:rPr>
        <w:t>进一步巩固深化</w:t>
      </w:r>
      <w:r>
        <w:rPr>
          <w:rFonts w:hint="eastAsia" w:ascii="仿宋_GB2312" w:hAnsi="仿宋_GB2312" w:eastAsia="仿宋_GB2312" w:cs="仿宋_GB2312"/>
          <w:kern w:val="21"/>
          <w:sz w:val="32"/>
          <w:szCs w:val="32"/>
        </w:rPr>
        <w:t>新时代和谐劳动关系。</w:t>
      </w:r>
      <w:r>
        <w:rPr>
          <w:rFonts w:hint="eastAsia" w:ascii="仿宋_GB2312" w:hAnsi="仿宋_GB2312" w:eastAsia="仿宋_GB2312" w:cs="仿宋_GB2312"/>
          <w:kern w:val="21"/>
          <w:sz w:val="32"/>
          <w:szCs w:val="32"/>
          <w:lang w:eastAsia="zh-CN"/>
        </w:rPr>
        <w:t>到</w:t>
      </w:r>
      <w:r>
        <w:rPr>
          <w:rFonts w:hint="eastAsia" w:ascii="仿宋_GB2312" w:hAnsi="仿宋_GB2312" w:eastAsia="仿宋_GB2312" w:cs="仿宋_GB2312"/>
          <w:kern w:val="21"/>
          <w:sz w:val="32"/>
          <w:szCs w:val="32"/>
          <w:lang w:val="en-US" w:eastAsia="zh-CN"/>
        </w:rPr>
        <w:t>2030年，灵活就业人员缴存住房公积金累计达10万人。</w:t>
      </w:r>
    </w:p>
    <w:bookmarkEnd w:id="557"/>
    <w:bookmarkEnd w:id="558"/>
    <w:bookmarkEnd w:id="559"/>
    <w:p w14:paraId="3327C15B">
      <w:pPr>
        <w:keepNext w:val="0"/>
        <w:keepLines w:val="0"/>
        <w:pageBreakBefore w:val="0"/>
        <w:kinsoku/>
        <w:wordWrap/>
        <w:overflowPunct w:val="0"/>
        <w:topLinePunct/>
        <w:autoSpaceDE/>
        <w:autoSpaceDN/>
        <w:bidi w:val="0"/>
        <w:adjustRightInd/>
        <w:spacing w:line="560" w:lineRule="exact"/>
        <w:ind w:firstLine="643" w:firstLineChars="200"/>
        <w:textAlignment w:val="auto"/>
        <w:rPr>
          <w:rFonts w:hint="eastAsia" w:ascii="仿宋_GB2312" w:hAnsi="仿宋_GB2312" w:eastAsia="仿宋_GB2312" w:cs="仿宋_GB2312"/>
          <w:kern w:val="21"/>
          <w:sz w:val="32"/>
          <w:szCs w:val="32"/>
        </w:rPr>
      </w:pPr>
      <w:bookmarkStart w:id="560" w:name="_Toc19822"/>
      <w:bookmarkStart w:id="561" w:name="_Toc19174"/>
      <w:r>
        <w:rPr>
          <w:rStyle w:val="46"/>
          <w:rFonts w:hint="eastAsia" w:ascii="仿宋_GB2312" w:hAnsi="仿宋_GB2312" w:eastAsia="仿宋_GB2312" w:cs="Times New Roman"/>
          <w:b/>
          <w:bCs/>
          <w:kern w:val="21"/>
          <w:sz w:val="32"/>
          <w:szCs w:val="32"/>
          <w:lang w:eastAsia="zh-CN"/>
        </w:rPr>
        <w:t>缩小城乡居民收入差距。</w:t>
      </w:r>
      <w:r>
        <w:rPr>
          <w:rFonts w:hint="eastAsia" w:ascii="仿宋_GB2312" w:hAnsi="仿宋_GB2312" w:eastAsia="仿宋_GB2312" w:cs="仿宋_GB2312"/>
          <w:kern w:val="21"/>
          <w:sz w:val="32"/>
          <w:szCs w:val="32"/>
          <w:lang w:val="en-US" w:eastAsia="zh-CN"/>
        </w:rPr>
        <w:t>服务</w:t>
      </w:r>
      <w:r>
        <w:rPr>
          <w:rFonts w:hint="eastAsia" w:ascii="仿宋_GB2312" w:hAnsi="仿宋_GB2312" w:eastAsia="仿宋_GB2312" w:cs="仿宋_GB2312"/>
          <w:kern w:val="21"/>
          <w:sz w:val="32"/>
          <w:szCs w:val="32"/>
        </w:rPr>
        <w:t>构建初次分配、再分配、三次分配协调发展</w:t>
      </w:r>
      <w:r>
        <w:rPr>
          <w:rFonts w:hint="eastAsia" w:ascii="仿宋_GB2312" w:hAnsi="仿宋_GB2312" w:eastAsia="仿宋_GB2312" w:cs="仿宋_GB2312"/>
          <w:kern w:val="21"/>
          <w:sz w:val="32"/>
          <w:szCs w:val="32"/>
          <w:lang w:val="en-US" w:eastAsia="zh-CN"/>
        </w:rPr>
        <w:t>的收入分配体系</w:t>
      </w:r>
      <w:r>
        <w:rPr>
          <w:rFonts w:hint="eastAsia" w:ascii="仿宋_GB2312" w:hAnsi="仿宋_GB2312" w:eastAsia="仿宋_GB2312" w:cs="仿宋_GB2312"/>
          <w:kern w:val="21"/>
          <w:sz w:val="32"/>
          <w:szCs w:val="32"/>
          <w:lang w:eastAsia="zh-CN"/>
        </w:rPr>
        <w:t>。</w:t>
      </w:r>
      <w:r>
        <w:rPr>
          <w:rFonts w:hint="eastAsia" w:ascii="仿宋_GB2312" w:hAnsi="仿宋_GB2312" w:eastAsia="仿宋_GB2312" w:cs="仿宋_GB2312"/>
          <w:kern w:val="21"/>
          <w:sz w:val="32"/>
          <w:szCs w:val="32"/>
        </w:rPr>
        <w:t>拓宽城乡居民增收渠道</w:t>
      </w:r>
      <w:r>
        <w:rPr>
          <w:rFonts w:hint="eastAsia" w:ascii="仿宋_GB2312" w:hAnsi="仿宋_GB2312" w:eastAsia="仿宋_GB2312" w:cs="仿宋_GB2312"/>
          <w:kern w:val="21"/>
          <w:sz w:val="32"/>
          <w:szCs w:val="32"/>
          <w:lang w:eastAsia="zh-CN"/>
        </w:rPr>
        <w:t>，</w:t>
      </w:r>
      <w:r>
        <w:rPr>
          <w:rStyle w:val="46"/>
          <w:rFonts w:hint="eastAsia" w:ascii="仿宋_GB2312" w:hAnsi="仿宋_GB2312" w:eastAsia="仿宋_GB2312" w:cs="Times New Roman"/>
          <w:b w:val="0"/>
          <w:bCs w:val="0"/>
          <w:kern w:val="21"/>
          <w:sz w:val="32"/>
          <w:szCs w:val="32"/>
          <w:lang w:val="en-US" w:eastAsia="zh-CN"/>
        </w:rPr>
        <w:t>扩大</w:t>
      </w:r>
      <w:r>
        <w:rPr>
          <w:rStyle w:val="46"/>
          <w:rFonts w:hint="eastAsia" w:ascii="仿宋_GB2312" w:hAnsi="仿宋_GB2312" w:eastAsia="仿宋_GB2312" w:cs="Times New Roman"/>
          <w:b w:val="0"/>
          <w:bCs w:val="0"/>
          <w:kern w:val="21"/>
          <w:sz w:val="32"/>
          <w:szCs w:val="32"/>
          <w:lang w:eastAsia="zh-CN"/>
        </w:rPr>
        <w:t>中等收入群体</w:t>
      </w:r>
      <w:r>
        <w:rPr>
          <w:rStyle w:val="46"/>
          <w:rFonts w:hint="eastAsia" w:ascii="仿宋_GB2312" w:hAnsi="仿宋_GB2312" w:eastAsia="仿宋_GB2312" w:cs="Times New Roman"/>
          <w:b w:val="0"/>
          <w:bCs w:val="0"/>
          <w:kern w:val="21"/>
          <w:sz w:val="32"/>
          <w:szCs w:val="32"/>
          <w:lang w:val="en-US" w:eastAsia="zh-CN"/>
        </w:rPr>
        <w:t>规模</w:t>
      </w:r>
      <w:r>
        <w:rPr>
          <w:rStyle w:val="46"/>
          <w:rFonts w:hint="eastAsia" w:ascii="仿宋_GB2312" w:hAnsi="仿宋_GB2312" w:eastAsia="仿宋_GB2312" w:cs="Times New Roman"/>
          <w:b w:val="0"/>
          <w:bCs w:val="0"/>
          <w:kern w:val="21"/>
          <w:sz w:val="32"/>
          <w:szCs w:val="32"/>
          <w:lang w:eastAsia="zh-CN"/>
        </w:rPr>
        <w:t>，加大低收入群体保障力度。</w:t>
      </w:r>
      <w:bookmarkEnd w:id="560"/>
      <w:bookmarkEnd w:id="561"/>
      <w:r>
        <w:rPr>
          <w:rFonts w:hint="eastAsia" w:ascii="仿宋_GB2312" w:hAnsi="仿宋_GB2312" w:eastAsia="仿宋_GB2312" w:cs="仿宋_GB2312"/>
          <w:kern w:val="21"/>
          <w:sz w:val="32"/>
          <w:szCs w:val="32"/>
          <w:lang w:eastAsia="zh-CN"/>
        </w:rPr>
        <w:t>支持</w:t>
      </w:r>
      <w:r>
        <w:rPr>
          <w:rFonts w:hint="eastAsia" w:ascii="仿宋_GB2312" w:hAnsi="仿宋_GB2312" w:eastAsia="仿宋_GB2312" w:cs="仿宋_GB2312"/>
          <w:kern w:val="21"/>
          <w:sz w:val="32"/>
          <w:szCs w:val="32"/>
        </w:rPr>
        <w:t>勤劳创新</w:t>
      </w:r>
      <w:r>
        <w:rPr>
          <w:rFonts w:hint="eastAsia" w:ascii="仿宋_GB2312" w:hAnsi="仿宋_GB2312" w:eastAsia="仿宋_GB2312" w:cs="仿宋_GB2312"/>
          <w:kern w:val="21"/>
          <w:sz w:val="32"/>
          <w:szCs w:val="32"/>
          <w:lang w:eastAsia="zh-CN"/>
        </w:rPr>
        <w:t>合法</w:t>
      </w:r>
      <w:r>
        <w:rPr>
          <w:rFonts w:hint="eastAsia" w:ascii="仿宋_GB2312" w:hAnsi="仿宋_GB2312" w:eastAsia="仿宋_GB2312" w:cs="仿宋_GB2312"/>
          <w:kern w:val="21"/>
          <w:sz w:val="32"/>
          <w:szCs w:val="32"/>
        </w:rPr>
        <w:t>致富，推进体现效率、促进公平的收入分配体系建设，</w:t>
      </w:r>
      <w:r>
        <w:rPr>
          <w:rFonts w:hint="eastAsia" w:ascii="仿宋_GB2312" w:hAnsi="仿宋_GB2312" w:eastAsia="仿宋_GB2312" w:cs="仿宋_GB2312"/>
          <w:kern w:val="21"/>
          <w:sz w:val="32"/>
          <w:szCs w:val="32"/>
          <w:lang w:eastAsia="zh-CN"/>
        </w:rPr>
        <w:t>鼓励先富带后富促共富，</w:t>
      </w:r>
      <w:r>
        <w:rPr>
          <w:rFonts w:hint="eastAsia" w:ascii="仿宋_GB2312" w:hAnsi="仿宋_GB2312" w:eastAsia="仿宋_GB2312" w:cs="仿宋_GB2312"/>
          <w:kern w:val="21"/>
          <w:sz w:val="32"/>
          <w:szCs w:val="32"/>
        </w:rPr>
        <w:t>城乡融合共富格局基本形成。完善高层次人才薪酬分配制度体系，</w:t>
      </w:r>
      <w:r>
        <w:rPr>
          <w:rFonts w:hint="eastAsia" w:ascii="仿宋_GB2312" w:hAnsi="仿宋_GB2312" w:eastAsia="仿宋_GB2312" w:cs="仿宋_GB2312"/>
          <w:kern w:val="21"/>
          <w:sz w:val="32"/>
          <w:szCs w:val="32"/>
          <w:lang w:val="en-US" w:eastAsia="zh-CN"/>
        </w:rPr>
        <w:t>多渠道增加居民财产性收入，切实保障</w:t>
      </w:r>
      <w:r>
        <w:rPr>
          <w:rFonts w:hint="eastAsia" w:ascii="仿宋_GB2312" w:hAnsi="仿宋_GB2312" w:eastAsia="仿宋_GB2312" w:cs="仿宋_GB2312"/>
          <w:kern w:val="21"/>
          <w:sz w:val="32"/>
          <w:szCs w:val="32"/>
          <w:lang w:eastAsia="zh-CN"/>
        </w:rPr>
        <w:t>多劳者多得、技高者多得、创新者多得</w:t>
      </w:r>
      <w:r>
        <w:rPr>
          <w:rFonts w:hint="eastAsia" w:ascii="仿宋_GB2312" w:hAnsi="仿宋_GB2312" w:eastAsia="仿宋_GB2312" w:cs="仿宋_GB2312"/>
          <w:kern w:val="21"/>
          <w:sz w:val="32"/>
          <w:szCs w:val="32"/>
        </w:rPr>
        <w:t>。</w:t>
      </w:r>
      <w:r>
        <w:rPr>
          <w:rFonts w:hint="eastAsia" w:ascii="仿宋_GB2312" w:hAnsi="仿宋_GB2312" w:eastAsia="仿宋_GB2312" w:cs="仿宋_GB2312"/>
          <w:kern w:val="21"/>
          <w:sz w:val="32"/>
          <w:szCs w:val="32"/>
          <w:lang w:eastAsia="zh-CN"/>
        </w:rPr>
        <w:t>促进</w:t>
      </w:r>
      <w:r>
        <w:rPr>
          <w:rFonts w:hint="eastAsia" w:ascii="仿宋_GB2312" w:hAnsi="仿宋_GB2312" w:eastAsia="仿宋_GB2312" w:cs="仿宋_GB2312"/>
          <w:kern w:val="21"/>
          <w:sz w:val="32"/>
          <w:szCs w:val="32"/>
          <w:lang w:val="en-US" w:eastAsia="zh-CN"/>
        </w:rPr>
        <w:t>并</w:t>
      </w:r>
      <w:r>
        <w:rPr>
          <w:rFonts w:hint="eastAsia" w:ascii="仿宋_GB2312" w:hAnsi="仿宋_GB2312" w:eastAsia="仿宋_GB2312" w:cs="仿宋_GB2312"/>
          <w:kern w:val="21"/>
          <w:sz w:val="32"/>
          <w:szCs w:val="32"/>
          <w:lang w:eastAsia="zh-CN"/>
        </w:rPr>
        <w:t>规范</w:t>
      </w:r>
      <w:r>
        <w:rPr>
          <w:rFonts w:hint="eastAsia" w:ascii="仿宋_GB2312" w:hAnsi="仿宋_GB2312" w:eastAsia="仿宋_GB2312" w:cs="仿宋_GB2312"/>
          <w:kern w:val="21"/>
          <w:sz w:val="32"/>
          <w:szCs w:val="32"/>
        </w:rPr>
        <w:t>公益慈善事业</w:t>
      </w:r>
      <w:r>
        <w:rPr>
          <w:rFonts w:hint="eastAsia" w:ascii="仿宋_GB2312" w:hAnsi="仿宋_GB2312" w:eastAsia="仿宋_GB2312" w:cs="仿宋_GB2312"/>
          <w:kern w:val="21"/>
          <w:sz w:val="32"/>
          <w:szCs w:val="32"/>
          <w:lang w:eastAsia="zh-CN"/>
        </w:rPr>
        <w:t>发展</w:t>
      </w:r>
      <w:r>
        <w:rPr>
          <w:rFonts w:hint="eastAsia" w:ascii="仿宋_GB2312" w:hAnsi="仿宋_GB2312" w:eastAsia="仿宋_GB2312" w:cs="仿宋_GB2312"/>
          <w:kern w:val="21"/>
          <w:sz w:val="32"/>
          <w:szCs w:val="32"/>
        </w:rPr>
        <w:t>。</w:t>
      </w:r>
    </w:p>
    <w:p w14:paraId="7C2CD0BA">
      <w:pPr>
        <w:keepNext w:val="0"/>
        <w:keepLines w:val="0"/>
        <w:pageBreakBefore w:val="0"/>
        <w:kinsoku/>
        <w:wordWrap/>
        <w:overflowPunct w:val="0"/>
        <w:topLinePunct/>
        <w:autoSpaceDE/>
        <w:autoSpaceDN/>
        <w:bidi w:val="0"/>
        <w:adjustRightInd/>
        <w:spacing w:line="560" w:lineRule="exact"/>
        <w:ind w:firstLine="420" w:firstLineChars="200"/>
        <w:textAlignment w:val="auto"/>
        <w:rPr>
          <w:rFonts w:hint="default" w:eastAsia="黑体"/>
          <w:kern w:val="21"/>
          <w:lang w:val="en-US" w:eastAsia="zh-CN"/>
        </w:rPr>
        <w:sectPr>
          <w:pgSz w:w="11906" w:h="16838"/>
          <w:pgMar w:top="1928" w:right="1531" w:bottom="1701" w:left="1531" w:header="0" w:footer="992" w:gutter="0"/>
          <w:pgNumType w:fmt="decimal"/>
          <w:cols w:space="0" w:num="1"/>
          <w:rtlGutter w:val="0"/>
          <w:docGrid w:type="lines" w:linePitch="312" w:charSpace="0"/>
        </w:sectPr>
      </w:pPr>
      <w:bookmarkStart w:id="562" w:name="_Toc22027"/>
      <w:bookmarkEnd w:id="562"/>
      <w:bookmarkStart w:id="563" w:name="_Toc13616"/>
      <w:bookmarkStart w:id="564" w:name="_Toc19317"/>
      <w:bookmarkStart w:id="565" w:name="_Toc5526"/>
      <w:bookmarkStart w:id="566" w:name="_Toc18514"/>
      <w:bookmarkStart w:id="567" w:name="_Toc441600754"/>
    </w:p>
    <w:bookmarkEnd w:id="563"/>
    <w:bookmarkEnd w:id="564"/>
    <w:bookmarkEnd w:id="565"/>
    <w:bookmarkEnd w:id="566"/>
    <w:bookmarkEnd w:id="567"/>
    <w:p w14:paraId="7412AA47">
      <w:pPr>
        <w:pStyle w:val="2"/>
        <w:keepNext w:val="0"/>
        <w:keepLines w:val="0"/>
        <w:pageBreakBefore w:val="0"/>
        <w:kinsoku/>
        <w:wordWrap/>
        <w:overflowPunct w:val="0"/>
        <w:topLinePunct/>
        <w:autoSpaceDE/>
        <w:autoSpaceDN/>
        <w:bidi w:val="0"/>
        <w:adjustRightInd/>
        <w:spacing w:line="560" w:lineRule="exact"/>
        <w:textAlignment w:val="auto"/>
        <w:rPr>
          <w:kern w:val="21"/>
        </w:rPr>
      </w:pPr>
      <w:bookmarkStart w:id="568" w:name="_Toc10043"/>
      <w:bookmarkStart w:id="569" w:name="_Toc16903"/>
      <w:bookmarkStart w:id="570" w:name="_Toc837"/>
      <w:bookmarkStart w:id="571" w:name="_Toc1699210717"/>
      <w:bookmarkStart w:id="572" w:name="_Toc15306"/>
      <w:bookmarkStart w:id="573" w:name="_Toc16665"/>
      <w:bookmarkStart w:id="574" w:name="_Toc1348674847"/>
      <w:bookmarkStart w:id="575" w:name="_Toc12880"/>
      <w:bookmarkStart w:id="576" w:name="_Toc11803"/>
      <w:bookmarkStart w:id="577" w:name="_Toc1206222768"/>
      <w:r>
        <w:rPr>
          <w:rFonts w:hint="eastAsia"/>
          <w:kern w:val="21"/>
        </w:rPr>
        <w:t>第</w:t>
      </w:r>
      <w:r>
        <w:rPr>
          <w:rFonts w:hint="eastAsia"/>
          <w:kern w:val="21"/>
          <w:lang w:eastAsia="zh-CN"/>
        </w:rPr>
        <w:t>十二</w:t>
      </w:r>
      <w:r>
        <w:rPr>
          <w:rFonts w:hint="eastAsia"/>
          <w:kern w:val="21"/>
        </w:rPr>
        <w:t xml:space="preserve">章  </w:t>
      </w:r>
      <w:bookmarkEnd w:id="568"/>
      <w:bookmarkEnd w:id="569"/>
      <w:bookmarkEnd w:id="570"/>
      <w:bookmarkEnd w:id="571"/>
      <w:bookmarkEnd w:id="572"/>
      <w:r>
        <w:rPr>
          <w:rFonts w:hint="eastAsia" w:ascii="黑体" w:hAnsi="黑体" w:eastAsia="黑体" w:cs="黑体"/>
          <w:color w:val="auto"/>
          <w:sz w:val="32"/>
          <w:szCs w:val="32"/>
          <w:lang w:eastAsia="zh-CN"/>
        </w:rPr>
        <w:t>推动经济社会发展全面绿色转型，加快建设美丽吴江</w:t>
      </w:r>
      <w:bookmarkEnd w:id="573"/>
      <w:bookmarkEnd w:id="574"/>
      <w:bookmarkEnd w:id="575"/>
      <w:bookmarkEnd w:id="576"/>
      <w:bookmarkEnd w:id="577"/>
    </w:p>
    <w:p w14:paraId="4E6BB48A">
      <w:pPr>
        <w:keepNext w:val="0"/>
        <w:keepLines w:val="0"/>
        <w:pageBreakBefore w:val="0"/>
        <w:kinsoku/>
        <w:wordWrap/>
        <w:overflowPunct w:val="0"/>
        <w:topLinePunct/>
        <w:autoSpaceDE/>
        <w:autoSpaceDN/>
        <w:bidi w:val="0"/>
        <w:adjustRightInd/>
        <w:spacing w:line="560" w:lineRule="exact"/>
        <w:ind w:firstLine="640" w:firstLineChars="200"/>
        <w:textAlignment w:val="auto"/>
        <w:rPr>
          <w:rFonts w:ascii="Times New Roman" w:hAnsi="Times New Roman" w:eastAsia="仿宋_GB2312" w:cs="Times New Roman"/>
          <w:kern w:val="21"/>
          <w:sz w:val="32"/>
          <w:szCs w:val="32"/>
        </w:rPr>
      </w:pPr>
    </w:p>
    <w:p w14:paraId="58903F15">
      <w:pPr>
        <w:keepNext w:val="0"/>
        <w:keepLines w:val="0"/>
        <w:pageBreakBefore w:val="0"/>
        <w:kinsoku/>
        <w:wordWrap/>
        <w:overflowPunct w:val="0"/>
        <w:topLinePunct/>
        <w:autoSpaceDE/>
        <w:autoSpaceDN/>
        <w:bidi w:val="0"/>
        <w:adjustRightInd/>
        <w:spacing w:line="560" w:lineRule="exact"/>
        <w:ind w:firstLine="640" w:firstLineChars="200"/>
        <w:textAlignment w:val="auto"/>
        <w:rPr>
          <w:rFonts w:ascii="Times New Roman" w:hAnsi="Times New Roman" w:eastAsia="仿宋_GB2312" w:cs="Times New Roman"/>
          <w:kern w:val="21"/>
          <w:sz w:val="32"/>
          <w:szCs w:val="32"/>
        </w:rPr>
      </w:pPr>
      <w:r>
        <w:rPr>
          <w:rFonts w:ascii="Times New Roman" w:hAnsi="Times New Roman" w:eastAsia="仿宋_GB2312" w:cs="Times New Roman"/>
          <w:kern w:val="21"/>
          <w:sz w:val="32"/>
          <w:szCs w:val="32"/>
        </w:rPr>
        <w:t>践行绿水青山就是金山银山理念，坚持生态优先、绿色低碳发展，</w:t>
      </w:r>
      <w:r>
        <w:rPr>
          <w:rFonts w:hint="eastAsia" w:ascii="仿宋_GB2312" w:hAnsi="仿宋_GB2312" w:eastAsia="仿宋_GB2312" w:cs="仿宋_GB2312"/>
          <w:color w:val="auto"/>
          <w:sz w:val="32"/>
          <w:szCs w:val="32"/>
          <w:highlight w:val="none"/>
          <w:lang w:eastAsia="zh-CN"/>
        </w:rPr>
        <w:t>落实苏州绿色低碳转型工程，</w:t>
      </w:r>
      <w:r>
        <w:rPr>
          <w:rFonts w:ascii="Times New Roman" w:hAnsi="Times New Roman" w:eastAsia="仿宋_GB2312" w:cs="Times New Roman"/>
          <w:kern w:val="21"/>
          <w:sz w:val="32"/>
          <w:szCs w:val="32"/>
        </w:rPr>
        <w:t>挖掘</w:t>
      </w:r>
      <w:r>
        <w:rPr>
          <w:rFonts w:hint="eastAsia" w:ascii="Times New Roman" w:hAnsi="Times New Roman" w:eastAsia="仿宋_GB2312" w:cs="Times New Roman"/>
          <w:kern w:val="21"/>
          <w:sz w:val="32"/>
          <w:szCs w:val="32"/>
          <w:lang w:eastAsia="zh-CN"/>
        </w:rPr>
        <w:t>生态</w:t>
      </w:r>
      <w:r>
        <w:rPr>
          <w:rFonts w:ascii="Times New Roman" w:hAnsi="Times New Roman" w:eastAsia="仿宋_GB2312" w:cs="Times New Roman"/>
          <w:kern w:val="21"/>
          <w:sz w:val="32"/>
          <w:szCs w:val="32"/>
        </w:rPr>
        <w:t>资源、推动价值转化，率先将生态优势转化为经济社会发展优势。</w:t>
      </w:r>
    </w:p>
    <w:p w14:paraId="5E518322">
      <w:pPr>
        <w:pStyle w:val="3"/>
        <w:keepNext w:val="0"/>
        <w:keepLines w:val="0"/>
        <w:pageBreakBefore w:val="0"/>
        <w:kinsoku/>
        <w:wordWrap/>
        <w:overflowPunct w:val="0"/>
        <w:topLinePunct/>
        <w:autoSpaceDE/>
        <w:autoSpaceDN/>
        <w:bidi w:val="0"/>
        <w:adjustRightInd/>
        <w:spacing w:before="156" w:after="156" w:line="560" w:lineRule="exact"/>
        <w:textAlignment w:val="auto"/>
        <w:rPr>
          <w:rFonts w:ascii="楷体_GB2312" w:hAnsi="楷体_GB2312" w:eastAsia="楷体_GB2312" w:cs="楷体_GB2312"/>
          <w:kern w:val="21"/>
        </w:rPr>
      </w:pPr>
      <w:bookmarkStart w:id="578" w:name="_Toc571971804"/>
      <w:bookmarkStart w:id="579" w:name="_Toc16913"/>
      <w:bookmarkStart w:id="580" w:name="_Toc19713"/>
      <w:bookmarkStart w:id="581" w:name="_Toc10096"/>
      <w:bookmarkStart w:id="582" w:name="_Toc309678732"/>
      <w:bookmarkStart w:id="583" w:name="_Toc19726"/>
      <w:bookmarkStart w:id="584" w:name="_Toc876990392"/>
      <w:bookmarkStart w:id="585" w:name="_Toc12183"/>
      <w:bookmarkStart w:id="586" w:name="_Toc1056"/>
      <w:bookmarkStart w:id="587" w:name="_Toc21811"/>
      <w:r>
        <w:rPr>
          <w:rFonts w:ascii="楷体_GB2312" w:hAnsi="楷体_GB2312" w:eastAsia="楷体_GB2312" w:cs="楷体_GB2312"/>
          <w:kern w:val="21"/>
        </w:rPr>
        <w:t xml:space="preserve">第一节 </w:t>
      </w:r>
      <w:r>
        <w:rPr>
          <w:rFonts w:hint="eastAsia" w:ascii="楷体_GB2312" w:hAnsi="楷体_GB2312" w:eastAsia="楷体_GB2312" w:cs="楷体_GB2312"/>
          <w:kern w:val="21"/>
          <w:lang w:val="en-US" w:eastAsia="zh-CN"/>
        </w:rPr>
        <w:t xml:space="preserve"> </w:t>
      </w:r>
      <w:r>
        <w:rPr>
          <w:rFonts w:ascii="楷体_GB2312" w:hAnsi="楷体_GB2312" w:eastAsia="楷体_GB2312" w:cs="楷体_GB2312"/>
          <w:kern w:val="21"/>
        </w:rPr>
        <w:t>推动生态环境本质改善</w:t>
      </w:r>
      <w:bookmarkEnd w:id="578"/>
      <w:bookmarkEnd w:id="579"/>
      <w:bookmarkEnd w:id="580"/>
      <w:bookmarkEnd w:id="581"/>
      <w:bookmarkEnd w:id="582"/>
      <w:bookmarkEnd w:id="583"/>
      <w:bookmarkEnd w:id="584"/>
      <w:bookmarkEnd w:id="585"/>
      <w:bookmarkEnd w:id="586"/>
      <w:bookmarkEnd w:id="587"/>
    </w:p>
    <w:p w14:paraId="58599C72">
      <w:pPr>
        <w:keepNext w:val="0"/>
        <w:keepLines w:val="0"/>
        <w:pageBreakBefore w:val="0"/>
        <w:kinsoku/>
        <w:wordWrap/>
        <w:overflowPunct w:val="0"/>
        <w:topLinePunct/>
        <w:autoSpaceDE/>
        <w:autoSpaceDN/>
        <w:bidi w:val="0"/>
        <w:adjustRightInd/>
        <w:spacing w:line="560" w:lineRule="exact"/>
        <w:ind w:firstLine="640" w:firstLineChars="200"/>
        <w:textAlignment w:val="auto"/>
        <w:rPr>
          <w:rFonts w:hint="eastAsia" w:ascii="仿宋_GB2312" w:hAnsi="仿宋_GB2312" w:eastAsia="仿宋_GB2312" w:cs="仿宋_GB2312"/>
          <w:kern w:val="21"/>
          <w:sz w:val="32"/>
          <w:szCs w:val="32"/>
        </w:rPr>
      </w:pPr>
      <w:r>
        <w:rPr>
          <w:rFonts w:hint="eastAsia" w:ascii="仿宋_GB2312" w:hAnsi="仿宋_GB2312" w:eastAsia="仿宋_GB2312" w:cs="仿宋_GB2312"/>
          <w:kern w:val="21"/>
          <w:sz w:val="32"/>
          <w:szCs w:val="32"/>
        </w:rPr>
        <w:t>坚持尊重自然、顺应自然、保护自然，加强污染防治和生态建设，持续擦亮生态优先、绿色发展的鲜明底色，全面推进美丽吴江建设。</w:t>
      </w:r>
    </w:p>
    <w:p w14:paraId="0B769356">
      <w:pPr>
        <w:keepNext w:val="0"/>
        <w:keepLines w:val="0"/>
        <w:pageBreakBefore w:val="0"/>
        <w:kinsoku/>
        <w:wordWrap/>
        <w:overflowPunct w:val="0"/>
        <w:topLinePunct/>
        <w:autoSpaceDE/>
        <w:autoSpaceDN/>
        <w:bidi w:val="0"/>
        <w:adjustRightInd/>
        <w:spacing w:line="560" w:lineRule="exact"/>
        <w:ind w:firstLine="643" w:firstLineChars="200"/>
        <w:textAlignment w:val="auto"/>
        <w:rPr>
          <w:rStyle w:val="46"/>
          <w:rFonts w:hint="eastAsia"/>
        </w:rPr>
      </w:pPr>
      <w:bookmarkStart w:id="588" w:name="_Toc11511"/>
      <w:bookmarkStart w:id="589" w:name="_Toc29320"/>
      <w:bookmarkStart w:id="590" w:name="_Toc22126"/>
      <w:bookmarkStart w:id="591" w:name="_Toc1608878020"/>
      <w:bookmarkStart w:id="592" w:name="_Toc368034086"/>
      <w:r>
        <w:rPr>
          <w:rStyle w:val="46"/>
          <w:rFonts w:hint="eastAsia" w:ascii="仿宋_GB2312" w:hAnsi="仿宋_GB2312" w:eastAsia="仿宋_GB2312" w:cs="Times New Roman"/>
          <w:b/>
          <w:bCs/>
          <w:kern w:val="21"/>
          <w:sz w:val="32"/>
        </w:rPr>
        <w:t>抓好污染防治攻坚。</w:t>
      </w:r>
      <w:bookmarkEnd w:id="588"/>
      <w:bookmarkEnd w:id="589"/>
      <w:bookmarkEnd w:id="590"/>
      <w:bookmarkEnd w:id="591"/>
      <w:bookmarkEnd w:id="592"/>
      <w:r>
        <w:rPr>
          <w:rFonts w:hint="eastAsia" w:ascii="仿宋_GB2312" w:hAnsi="仿宋_GB2312" w:eastAsia="仿宋_GB2312" w:cs="仿宋_GB2312"/>
          <w:kern w:val="21"/>
          <w:sz w:val="32"/>
        </w:rPr>
        <w:t>持续深入推进蓝天、碧水、净土保卫战。深化大气污防攻坚，强化点源、交通源、城市面源污染综合治理，加强PM</w:t>
      </w:r>
      <w:r>
        <w:rPr>
          <w:rFonts w:hint="eastAsia" w:ascii="仿宋_GB2312" w:hAnsi="仿宋_GB2312" w:eastAsia="仿宋_GB2312" w:cs="仿宋_GB2312"/>
          <w:kern w:val="21"/>
          <w:sz w:val="32"/>
          <w:vertAlign w:val="subscript"/>
        </w:rPr>
        <w:t>2.5</w:t>
      </w:r>
      <w:r>
        <w:rPr>
          <w:rFonts w:hint="eastAsia" w:ascii="仿宋_GB2312" w:hAnsi="仿宋_GB2312" w:eastAsia="仿宋_GB2312" w:cs="仿宋_GB2312"/>
          <w:kern w:val="21"/>
          <w:sz w:val="32"/>
        </w:rPr>
        <w:t>和臭氧协同控制，推进重点行业无组织废气收集及设施改造。推进水体污防攻坚，</w:t>
      </w:r>
      <w:r>
        <w:rPr>
          <w:rFonts w:hint="eastAsia" w:ascii="仿宋_GB2312" w:hAnsi="仿宋_GB2312" w:eastAsia="仿宋_GB2312" w:cs="仿宋_GB2312"/>
          <w:color w:val="auto"/>
          <w:sz w:val="32"/>
          <w:szCs w:val="32"/>
          <w:lang w:val="en-US" w:eastAsia="zh-CN"/>
        </w:rPr>
        <w:t>大力推进新一轮太湖综合治理，突出监测预警，推进控源截污，全方位加强</w:t>
      </w:r>
      <w:r>
        <w:rPr>
          <w:rFonts w:hint="eastAsia" w:ascii="Times New Roman" w:hAnsi="Times New Roman" w:eastAsia="仿宋_GB2312" w:cs="Times New Roman"/>
          <w:sz w:val="32"/>
          <w:szCs w:val="32"/>
          <w:lang w:eastAsia="zh-CN"/>
        </w:rPr>
        <w:t>水源地保护和水环境治理，</w:t>
      </w:r>
      <w:r>
        <w:rPr>
          <w:rFonts w:hint="eastAsia" w:ascii="Times New Roman" w:hAnsi="Times New Roman" w:eastAsia="仿宋_GB2312" w:cs="Times New Roman"/>
          <w:sz w:val="32"/>
          <w:szCs w:val="32"/>
          <w:lang w:val="en-US" w:eastAsia="zh-CN"/>
        </w:rPr>
        <w:t>确保</w:t>
      </w:r>
      <w:r>
        <w:rPr>
          <w:rFonts w:hint="eastAsia" w:ascii="仿宋_GB2312" w:hAnsi="仿宋_GB2312" w:eastAsia="仿宋_GB2312" w:cs="仿宋_GB2312"/>
          <w:color w:val="auto"/>
          <w:sz w:val="32"/>
          <w:szCs w:val="32"/>
          <w:lang w:val="en-US" w:eastAsia="zh-CN"/>
        </w:rPr>
        <w:t>太湖安全度夏、</w:t>
      </w:r>
      <w:r>
        <w:rPr>
          <w:rFonts w:hint="eastAsia" w:ascii="Times New Roman" w:hAnsi="Times New Roman" w:eastAsia="仿宋_GB2312" w:cs="Times New Roman"/>
          <w:sz w:val="32"/>
          <w:szCs w:val="32"/>
          <w:lang w:val="en-US" w:eastAsia="zh-CN"/>
        </w:rPr>
        <w:t>国省考断面达标。</w:t>
      </w:r>
      <w:r>
        <w:rPr>
          <w:rFonts w:hint="eastAsia" w:ascii="仿宋_GB2312" w:hAnsi="仿宋_GB2312" w:eastAsia="仿宋_GB2312" w:cs="仿宋_GB2312"/>
          <w:kern w:val="21"/>
          <w:sz w:val="32"/>
        </w:rPr>
        <w:t>加强土壤污染防治，</w:t>
      </w:r>
      <w:r>
        <w:rPr>
          <w:rFonts w:hint="eastAsia" w:ascii="仿宋_GB2312" w:hAnsi="仿宋_GB2312" w:eastAsia="仿宋_GB2312" w:cs="仿宋_GB2312"/>
          <w:kern w:val="21"/>
          <w:sz w:val="32"/>
          <w:lang w:val="en-US" w:eastAsia="zh-CN"/>
        </w:rPr>
        <w:t>强化</w:t>
      </w:r>
      <w:r>
        <w:rPr>
          <w:rFonts w:hint="eastAsia" w:ascii="仿宋_GB2312" w:hAnsi="仿宋_GB2312" w:eastAsia="仿宋_GB2312" w:cs="仿宋_GB2312"/>
          <w:kern w:val="21"/>
          <w:sz w:val="32"/>
        </w:rPr>
        <w:t>源头防控，开展重金属隐患排查，加强大宗固废处置管理，建设“无废城市”。</w:t>
      </w:r>
      <w:bookmarkStart w:id="593" w:name="_Toc28378"/>
      <w:bookmarkStart w:id="594" w:name="_Toc1012945589"/>
      <w:bookmarkStart w:id="595" w:name="_Toc1746111855"/>
      <w:r>
        <w:rPr>
          <w:rFonts w:hint="eastAsia" w:ascii="仿宋_GB2312" w:hAnsi="仿宋_GB2312" w:eastAsia="仿宋_GB2312" w:cs="仿宋_GB2312"/>
          <w:kern w:val="21"/>
          <w:sz w:val="32"/>
          <w:szCs w:val="32"/>
        </w:rPr>
        <w:t>探索推进新污染物治理，开展新污染物环境调查和风险评估，加强执法和监督能力提升。</w:t>
      </w:r>
    </w:p>
    <w:bookmarkEnd w:id="593"/>
    <w:bookmarkEnd w:id="594"/>
    <w:bookmarkEnd w:id="595"/>
    <w:p w14:paraId="5BA12DE3">
      <w:pPr>
        <w:keepNext w:val="0"/>
        <w:keepLines w:val="0"/>
        <w:pageBreakBefore w:val="0"/>
        <w:kinsoku/>
        <w:wordWrap/>
        <w:overflowPunct w:val="0"/>
        <w:topLinePunct/>
        <w:autoSpaceDE/>
        <w:autoSpaceDN/>
        <w:bidi w:val="0"/>
        <w:adjustRightInd/>
        <w:spacing w:line="560" w:lineRule="exact"/>
        <w:ind w:firstLine="643" w:firstLineChars="200"/>
        <w:textAlignment w:val="auto"/>
        <w:rPr>
          <w:rFonts w:hint="eastAsia" w:ascii="仿宋_GB2312" w:hAnsi="仿宋_GB2312" w:eastAsia="仿宋_GB2312" w:cs="仿宋_GB2312"/>
          <w:kern w:val="21"/>
          <w:sz w:val="32"/>
          <w:szCs w:val="32"/>
        </w:rPr>
      </w:pPr>
      <w:bookmarkStart w:id="596" w:name="_Toc32184"/>
      <w:bookmarkStart w:id="597" w:name="_Toc21393"/>
      <w:r>
        <w:rPr>
          <w:rStyle w:val="46"/>
          <w:rFonts w:hint="eastAsia" w:ascii="仿宋_GB2312" w:hAnsi="仿宋_GB2312" w:eastAsia="仿宋_GB2312" w:cs="仿宋_GB2312"/>
          <w:kern w:val="21"/>
          <w:sz w:val="32"/>
          <w:szCs w:val="32"/>
        </w:rPr>
        <w:t>加强生态资源保护利用</w:t>
      </w:r>
      <w:bookmarkEnd w:id="596"/>
      <w:bookmarkEnd w:id="597"/>
      <w:r>
        <w:rPr>
          <w:rFonts w:hint="eastAsia" w:ascii="仿宋_GB2312" w:hAnsi="仿宋_GB2312" w:eastAsia="仿宋_GB2312" w:cs="仿宋_GB2312"/>
          <w:b/>
          <w:bCs/>
          <w:kern w:val="21"/>
          <w:sz w:val="32"/>
          <w:highlight w:val="none"/>
        </w:rPr>
        <w:t>。</w:t>
      </w:r>
      <w:r>
        <w:rPr>
          <w:rFonts w:hint="eastAsia" w:ascii="仿宋_GB2312" w:hAnsi="仿宋_GB2312" w:eastAsia="仿宋_GB2312" w:cs="仿宋_GB2312"/>
          <w:kern w:val="21"/>
          <w:sz w:val="32"/>
          <w:szCs w:val="32"/>
        </w:rPr>
        <w:t>完善多方协同保护机制，推进“治污染”向“护生态”转变，切实守护好生态红线。</w:t>
      </w:r>
      <w:r>
        <w:rPr>
          <w:rFonts w:hint="eastAsia" w:ascii="仿宋_GB2312" w:hAnsi="仿宋_GB2312" w:eastAsia="仿宋_GB2312" w:cs="仿宋_GB2312"/>
          <w:kern w:val="21"/>
          <w:sz w:val="32"/>
        </w:rPr>
        <w:t>协同</w:t>
      </w:r>
      <w:r>
        <w:rPr>
          <w:rFonts w:hint="eastAsia" w:ascii="仿宋_GB2312" w:hAnsi="仿宋_GB2312" w:eastAsia="仿宋_GB2312" w:cs="仿宋_GB2312"/>
          <w:kern w:val="21"/>
          <w:sz w:val="32"/>
          <w:szCs w:val="32"/>
        </w:rPr>
        <w:t>推进吴淞江整治、太浦河后续一期工程，加快全域幸福河湖建设，推动岸线综合治理和品质提升，擦亮水清岸绿、人和景美的靓丽风景线。推进水系结构优化调整，</w:t>
      </w:r>
      <w:r>
        <w:rPr>
          <w:rFonts w:hint="eastAsia" w:ascii="仿宋_GB2312" w:hAnsi="仿宋_GB2312" w:eastAsia="仿宋_GB2312" w:cs="仿宋_GB2312"/>
          <w:kern w:val="21"/>
          <w:sz w:val="32"/>
          <w:szCs w:val="32"/>
          <w:highlight w:val="none"/>
        </w:rPr>
        <w:t>增强水体的连通性和流动性。加强同里国家湿地公园、震泽省级湿地公园</w:t>
      </w:r>
      <w:r>
        <w:rPr>
          <w:rFonts w:hint="eastAsia" w:ascii="仿宋_GB2312" w:hAnsi="仿宋_GB2312" w:eastAsia="仿宋_GB2312" w:cs="仿宋_GB2312"/>
          <w:kern w:val="21"/>
          <w:sz w:val="32"/>
          <w:szCs w:val="32"/>
          <w:highlight w:val="none"/>
          <w:lang w:eastAsia="zh-CN"/>
        </w:rPr>
        <w:t>、桃源森林公园</w:t>
      </w:r>
      <w:r>
        <w:rPr>
          <w:rFonts w:hint="eastAsia" w:ascii="仿宋_GB2312" w:hAnsi="仿宋_GB2312" w:eastAsia="仿宋_GB2312" w:cs="仿宋_GB2312"/>
          <w:kern w:val="21"/>
          <w:sz w:val="32"/>
          <w:szCs w:val="32"/>
          <w:highlight w:val="none"/>
        </w:rPr>
        <w:t>等绿地资源保护利用，</w:t>
      </w:r>
      <w:r>
        <w:rPr>
          <w:rFonts w:hint="eastAsia" w:ascii="仿宋_GB2312" w:hAnsi="仿宋_GB2312" w:eastAsia="仿宋_GB2312" w:cs="仿宋_GB2312"/>
          <w:kern w:val="21"/>
          <w:sz w:val="32"/>
          <w:szCs w:val="32"/>
          <w:highlight w:val="none"/>
          <w:lang w:eastAsia="zh-CN"/>
        </w:rPr>
        <w:t>因地制宜发展“林下经济”，</w:t>
      </w:r>
      <w:r>
        <w:rPr>
          <w:rFonts w:hint="eastAsia" w:ascii="仿宋_GB2312" w:hAnsi="仿宋_GB2312" w:eastAsia="仿宋_GB2312" w:cs="仿宋_GB2312"/>
          <w:kern w:val="21"/>
          <w:sz w:val="32"/>
          <w:szCs w:val="32"/>
          <w:highlight w:val="none"/>
        </w:rPr>
        <w:t>构建蓝绿融合、林田复合的生态碳汇空间。合理布局绿化空间，完善自然保</w:t>
      </w:r>
      <w:r>
        <w:rPr>
          <w:rFonts w:hint="eastAsia" w:ascii="仿宋_GB2312" w:hAnsi="仿宋_GB2312" w:eastAsia="仿宋_GB2312" w:cs="仿宋_GB2312"/>
          <w:kern w:val="21"/>
          <w:sz w:val="32"/>
          <w:szCs w:val="32"/>
        </w:rPr>
        <w:t>护地体系建设。探索GEP核算体系与生态产品交易制度，拓宽生态产品价值转化路径，推进生态资产确权、核算、评估、抵押、交易，探索构建生态环境损害赔偿与生态产品交易衔接机制。</w:t>
      </w:r>
    </w:p>
    <w:p w14:paraId="2BF1F038">
      <w:pPr>
        <w:keepNext w:val="0"/>
        <w:keepLines w:val="0"/>
        <w:pageBreakBefore w:val="0"/>
        <w:kinsoku/>
        <w:wordWrap/>
        <w:overflowPunct w:val="0"/>
        <w:topLinePunct/>
        <w:autoSpaceDE/>
        <w:autoSpaceDN/>
        <w:bidi w:val="0"/>
        <w:adjustRightInd/>
        <w:spacing w:line="560" w:lineRule="exact"/>
        <w:ind w:firstLine="643" w:firstLineChars="200"/>
        <w:textAlignment w:val="auto"/>
        <w:rPr>
          <w:rFonts w:hint="eastAsia" w:ascii="仿宋_GB2312" w:hAnsi="仿宋_GB2312" w:eastAsia="仿宋_GB2312" w:cs="仿宋_GB2312"/>
          <w:kern w:val="21"/>
          <w:sz w:val="32"/>
          <w:szCs w:val="32"/>
          <w:lang w:eastAsia="zh-CN"/>
        </w:rPr>
      </w:pPr>
      <w:bookmarkStart w:id="598" w:name="_Toc1002"/>
      <w:bookmarkStart w:id="599" w:name="_Toc8595"/>
      <w:bookmarkStart w:id="600" w:name="_Toc1300166701"/>
      <w:bookmarkStart w:id="601" w:name="_Toc22449"/>
      <w:bookmarkStart w:id="602" w:name="_Toc1536800802"/>
      <w:r>
        <w:rPr>
          <w:rStyle w:val="46"/>
          <w:rFonts w:hint="eastAsia" w:ascii="仿宋_GB2312" w:hAnsi="仿宋_GB2312" w:eastAsia="仿宋_GB2312" w:cs="Times New Roman"/>
          <w:b/>
          <w:bCs/>
          <w:kern w:val="21"/>
          <w:sz w:val="32"/>
        </w:rPr>
        <w:t>提升生态系统韧性</w:t>
      </w:r>
      <w:bookmarkEnd w:id="598"/>
      <w:bookmarkEnd w:id="599"/>
      <w:bookmarkEnd w:id="600"/>
      <w:bookmarkEnd w:id="601"/>
      <w:bookmarkEnd w:id="602"/>
      <w:r>
        <w:rPr>
          <w:rFonts w:hint="eastAsia" w:ascii="仿宋_GB2312" w:hAnsi="仿宋_GB2312" w:eastAsia="仿宋_GB2312" w:cs="仿宋_GB2312"/>
          <w:b/>
          <w:bCs/>
          <w:kern w:val="21"/>
          <w:sz w:val="32"/>
        </w:rPr>
        <w:t>。</w:t>
      </w:r>
      <w:r>
        <w:rPr>
          <w:rFonts w:hint="eastAsia" w:ascii="仿宋_GB2312" w:hAnsi="仿宋_GB2312" w:eastAsia="仿宋_GB2312" w:cs="仿宋_GB2312"/>
          <w:kern w:val="21"/>
          <w:sz w:val="32"/>
          <w:szCs w:val="32"/>
        </w:rPr>
        <w:t>推进生态文明体制改革，完善生态环境治理体系。强化水土保持和生态涵养，开展生态清洁小流域建设</w:t>
      </w:r>
      <w:r>
        <w:rPr>
          <w:rFonts w:hint="eastAsia" w:ascii="仿宋_GB2312" w:hAnsi="仿宋_GB2312" w:eastAsia="仿宋_GB2312" w:cs="仿宋_GB2312"/>
          <w:kern w:val="21"/>
          <w:sz w:val="32"/>
          <w:szCs w:val="32"/>
          <w:lang w:eastAsia="zh-CN"/>
        </w:rPr>
        <w:t>，</w:t>
      </w:r>
      <w:r>
        <w:rPr>
          <w:rFonts w:hint="eastAsia" w:ascii="仿宋_GB2312" w:hAnsi="仿宋_GB2312" w:eastAsia="仿宋_GB2312" w:cs="仿宋_GB2312"/>
          <w:kern w:val="21"/>
          <w:sz w:val="32"/>
          <w:szCs w:val="32"/>
        </w:rPr>
        <w:t>提升水生态系统的质量和稳定性。</w:t>
      </w:r>
      <w:r>
        <w:rPr>
          <w:rFonts w:hint="eastAsia" w:ascii="仿宋_GB2312" w:hAnsi="仿宋_GB2312" w:eastAsia="仿宋_GB2312" w:cs="仿宋_GB2312"/>
          <w:kern w:val="21"/>
          <w:sz w:val="32"/>
          <w:szCs w:val="32"/>
          <w:lang w:val="en-US" w:eastAsia="zh-CN"/>
        </w:rPr>
        <w:t>持续</w:t>
      </w:r>
      <w:r>
        <w:rPr>
          <w:rFonts w:hint="eastAsia" w:ascii="仿宋_GB2312" w:hAnsi="仿宋_GB2312" w:eastAsia="仿宋_GB2312" w:cs="仿宋_GB2312"/>
          <w:kern w:val="21"/>
          <w:sz w:val="32"/>
          <w:szCs w:val="32"/>
        </w:rPr>
        <w:t>深化“工业发达和人口稠密地区生物多样性保护样板区”建设，</w:t>
      </w:r>
      <w:r>
        <w:rPr>
          <w:rFonts w:hint="eastAsia" w:ascii="仿宋_GB2312" w:hAnsi="仿宋_GB2312" w:eastAsia="仿宋_GB2312" w:cs="仿宋_GB2312"/>
          <w:spacing w:val="0"/>
          <w:sz w:val="32"/>
          <w:szCs w:val="32"/>
          <w:lang w:val="en-US" w:eastAsia="zh-CN"/>
        </w:rPr>
        <w:t>探索</w:t>
      </w:r>
      <w:bookmarkStart w:id="603" w:name="_Toc14417"/>
      <w:bookmarkStart w:id="604" w:name="_Toc192621774"/>
      <w:bookmarkStart w:id="605" w:name="_Toc3125"/>
      <w:bookmarkStart w:id="606" w:name="_Toc28171"/>
      <w:bookmarkStart w:id="607" w:name="_Toc21945"/>
      <w:bookmarkStart w:id="608" w:name="_Toc12332"/>
      <w:r>
        <w:rPr>
          <w:rFonts w:hint="eastAsia" w:ascii="仿宋_GB2312" w:hAnsi="仿宋_GB2312" w:eastAsia="仿宋_GB2312" w:cs="仿宋_GB2312"/>
          <w:spacing w:val="0"/>
          <w:sz w:val="32"/>
          <w:szCs w:val="32"/>
          <w:lang w:val="en-US" w:eastAsia="zh-CN"/>
        </w:rPr>
        <w:t>开展基于生物多样性的生态环境质量评价</w:t>
      </w:r>
      <w:bookmarkEnd w:id="603"/>
      <w:bookmarkEnd w:id="604"/>
      <w:bookmarkEnd w:id="605"/>
      <w:bookmarkEnd w:id="606"/>
      <w:bookmarkEnd w:id="607"/>
      <w:bookmarkEnd w:id="608"/>
      <w:r>
        <w:rPr>
          <w:rFonts w:hint="eastAsia" w:ascii="仿宋_GB2312" w:hAnsi="仿宋_GB2312" w:eastAsia="仿宋_GB2312" w:cs="仿宋_GB2312"/>
          <w:spacing w:val="0"/>
          <w:sz w:val="32"/>
          <w:szCs w:val="32"/>
          <w:lang w:val="en-US" w:eastAsia="zh-CN"/>
        </w:rPr>
        <w:t>工作</w:t>
      </w:r>
      <w:r>
        <w:rPr>
          <w:rFonts w:hint="eastAsia" w:ascii="仿宋_GB2312" w:hAnsi="仿宋_GB2312" w:eastAsia="仿宋_GB2312" w:cs="仿宋_GB2312"/>
          <w:kern w:val="21"/>
          <w:sz w:val="32"/>
          <w:szCs w:val="32"/>
        </w:rPr>
        <w:t>。</w:t>
      </w:r>
      <w:r>
        <w:rPr>
          <w:rFonts w:hint="eastAsia" w:ascii="仿宋_GB2312" w:hAnsi="仿宋_GB2312" w:eastAsia="仿宋_GB2312" w:cs="仿宋_GB2312"/>
          <w:color w:val="auto"/>
          <w:sz w:val="32"/>
          <w:szCs w:val="32"/>
          <w:lang w:val="en-US" w:eastAsia="zh-CN"/>
        </w:rPr>
        <w:t>优化水产种质资源保护区管理，严防外来入侵物种风险。坚定推进长江十年禁渔，</w:t>
      </w:r>
      <w:r>
        <w:rPr>
          <w:rFonts w:hint="eastAsia" w:ascii="仿宋_GB2312" w:hAnsi="仿宋_GB2312" w:eastAsia="仿宋_GB2312" w:cs="仿宋_GB2312"/>
          <w:color w:val="auto"/>
          <w:sz w:val="32"/>
          <w:szCs w:val="32"/>
        </w:rPr>
        <w:t>巩固好重点水域禁捕退捕成果</w:t>
      </w:r>
      <w:r>
        <w:rPr>
          <w:rFonts w:hint="eastAsia" w:ascii="仿宋_GB2312" w:hAnsi="仿宋_GB2312" w:eastAsia="仿宋_GB2312" w:cs="仿宋_GB2312"/>
          <w:color w:val="auto"/>
          <w:sz w:val="32"/>
          <w:szCs w:val="32"/>
          <w:lang w:val="en-US" w:eastAsia="zh-CN"/>
        </w:rPr>
        <w:t>。</w:t>
      </w:r>
      <w:r>
        <w:rPr>
          <w:rFonts w:hint="eastAsia" w:ascii="仿宋_GB2312" w:hAnsi="仿宋_GB2312" w:eastAsia="仿宋_GB2312" w:cs="仿宋_GB2312"/>
          <w:kern w:val="21"/>
          <w:sz w:val="32"/>
          <w:szCs w:val="32"/>
        </w:rPr>
        <w:t>构建“两心、两廊、三链、四区”的生态空间格局，凸显江南水乡的自然生态之美。</w:t>
      </w:r>
    </w:p>
    <w:p w14:paraId="7834DCEB">
      <w:pPr>
        <w:pStyle w:val="3"/>
        <w:keepNext w:val="0"/>
        <w:keepLines w:val="0"/>
        <w:pageBreakBefore w:val="0"/>
        <w:kinsoku/>
        <w:wordWrap/>
        <w:overflowPunct w:val="0"/>
        <w:topLinePunct/>
        <w:autoSpaceDE/>
        <w:autoSpaceDN/>
        <w:bidi w:val="0"/>
        <w:adjustRightInd/>
        <w:spacing w:before="156" w:after="156" w:line="560" w:lineRule="exact"/>
        <w:textAlignment w:val="auto"/>
        <w:rPr>
          <w:rFonts w:ascii="楷体_GB2312" w:hAnsi="楷体_GB2312" w:eastAsia="楷体_GB2312" w:cs="楷体_GB2312"/>
          <w:kern w:val="21"/>
        </w:rPr>
      </w:pPr>
      <w:bookmarkStart w:id="609" w:name="_Toc6100"/>
      <w:bookmarkStart w:id="610" w:name="_Toc9725"/>
      <w:bookmarkStart w:id="611" w:name="_Toc714201075"/>
      <w:bookmarkStart w:id="612" w:name="_Toc773"/>
      <w:bookmarkStart w:id="613" w:name="_Toc1157202436"/>
      <w:bookmarkStart w:id="614" w:name="_Toc119577302"/>
      <w:bookmarkStart w:id="615" w:name="_Toc9471"/>
      <w:bookmarkStart w:id="616" w:name="_Toc24945"/>
      <w:bookmarkStart w:id="617" w:name="_Toc29810"/>
      <w:bookmarkStart w:id="618" w:name="_Toc17080"/>
      <w:r>
        <w:rPr>
          <w:rFonts w:ascii="楷体_GB2312" w:hAnsi="楷体_GB2312" w:eastAsia="楷体_GB2312" w:cs="楷体_GB2312"/>
          <w:kern w:val="21"/>
        </w:rPr>
        <w:t>第二节</w:t>
      </w:r>
      <w:r>
        <w:rPr>
          <w:rFonts w:hint="eastAsia" w:ascii="楷体_GB2312" w:hAnsi="楷体_GB2312" w:eastAsia="楷体_GB2312" w:cs="楷体_GB2312"/>
          <w:kern w:val="21"/>
          <w:lang w:val="en-US" w:eastAsia="zh-CN"/>
        </w:rPr>
        <w:t xml:space="preserve"> </w:t>
      </w:r>
      <w:r>
        <w:rPr>
          <w:rFonts w:ascii="楷体_GB2312" w:hAnsi="楷体_GB2312" w:eastAsia="楷体_GB2312" w:cs="楷体_GB2312"/>
          <w:kern w:val="21"/>
        </w:rPr>
        <w:t xml:space="preserve"> 全面推动绿色低碳发展</w:t>
      </w:r>
      <w:bookmarkEnd w:id="609"/>
      <w:bookmarkEnd w:id="610"/>
      <w:bookmarkEnd w:id="611"/>
      <w:bookmarkEnd w:id="612"/>
      <w:bookmarkEnd w:id="613"/>
      <w:bookmarkEnd w:id="614"/>
      <w:bookmarkEnd w:id="615"/>
      <w:bookmarkEnd w:id="616"/>
      <w:bookmarkEnd w:id="617"/>
      <w:bookmarkEnd w:id="618"/>
    </w:p>
    <w:p w14:paraId="4F170112">
      <w:pPr>
        <w:keepNext w:val="0"/>
        <w:keepLines w:val="0"/>
        <w:pageBreakBefore w:val="0"/>
        <w:kinsoku/>
        <w:wordWrap/>
        <w:overflowPunct w:val="0"/>
        <w:topLinePunct/>
        <w:autoSpaceDE/>
        <w:autoSpaceDN/>
        <w:bidi w:val="0"/>
        <w:adjustRightInd/>
        <w:snapToGrid w:val="0"/>
        <w:spacing w:line="560" w:lineRule="exact"/>
        <w:ind w:firstLine="641"/>
        <w:textAlignment w:val="auto"/>
        <w:rPr>
          <w:rFonts w:hint="eastAsia" w:ascii="仿宋_GB2312" w:hAnsi="仿宋_GB2312" w:eastAsia="仿宋_GB2312" w:cs="仿宋_GB2312"/>
          <w:kern w:val="21"/>
          <w:sz w:val="32"/>
        </w:rPr>
      </w:pPr>
      <w:r>
        <w:rPr>
          <w:rFonts w:hint="eastAsia" w:ascii="仿宋_GB2312" w:hAnsi="仿宋_GB2312" w:eastAsia="仿宋_GB2312" w:cs="仿宋_GB2312"/>
          <w:kern w:val="21"/>
          <w:sz w:val="32"/>
        </w:rPr>
        <w:t>以碳达峰碳中和工作为引领，协同推进降碳、减污、扩绿、增长，形成节约资源和保护环境的空间格局、产业结构、生产方式、生活方式，加快经济社会发展全面绿色转型。</w:t>
      </w:r>
    </w:p>
    <w:p w14:paraId="6901D0FA">
      <w:pPr>
        <w:keepNext w:val="0"/>
        <w:keepLines w:val="0"/>
        <w:pageBreakBefore w:val="0"/>
        <w:kinsoku/>
        <w:wordWrap/>
        <w:overflowPunct w:val="0"/>
        <w:topLinePunct/>
        <w:autoSpaceDE/>
        <w:autoSpaceDN/>
        <w:bidi w:val="0"/>
        <w:adjustRightInd/>
        <w:snapToGrid w:val="0"/>
        <w:spacing w:line="560" w:lineRule="exact"/>
        <w:ind w:firstLine="641"/>
        <w:textAlignment w:val="auto"/>
        <w:rPr>
          <w:rFonts w:hint="default" w:ascii="仿宋_GB2312" w:hAnsi="仿宋_GB2312" w:eastAsia="仿宋_GB2312" w:cs="仿宋_GB2312"/>
          <w:kern w:val="21"/>
          <w:sz w:val="32"/>
          <w:lang w:val="en-US"/>
        </w:rPr>
      </w:pPr>
      <w:bookmarkStart w:id="619" w:name="_Toc15841"/>
      <w:bookmarkStart w:id="620" w:name="_Toc1391653267"/>
      <w:bookmarkStart w:id="621" w:name="_Toc1537975597"/>
      <w:bookmarkStart w:id="622" w:name="_Toc29604"/>
      <w:bookmarkStart w:id="623" w:name="_Toc27770"/>
      <w:r>
        <w:rPr>
          <w:rStyle w:val="46"/>
          <w:rFonts w:hint="eastAsia" w:ascii="仿宋_GB2312" w:hAnsi="仿宋_GB2312" w:eastAsia="仿宋_GB2312" w:cs="Times New Roman"/>
          <w:b/>
          <w:bCs/>
          <w:kern w:val="21"/>
          <w:sz w:val="32"/>
        </w:rPr>
        <w:t>积极稳妥推进</w:t>
      </w:r>
      <w:r>
        <w:rPr>
          <w:rStyle w:val="46"/>
          <w:rFonts w:hint="eastAsia" w:ascii="仿宋_GB2312" w:hAnsi="仿宋_GB2312" w:eastAsia="仿宋_GB2312" w:cs="Times New Roman"/>
          <w:b/>
          <w:bCs/>
          <w:kern w:val="21"/>
          <w:sz w:val="32"/>
          <w:lang w:eastAsia="zh-CN"/>
        </w:rPr>
        <w:t>和实现</w:t>
      </w:r>
      <w:r>
        <w:rPr>
          <w:rStyle w:val="46"/>
          <w:rFonts w:hint="eastAsia" w:ascii="仿宋_GB2312" w:hAnsi="仿宋_GB2312" w:eastAsia="仿宋_GB2312" w:cs="Times New Roman"/>
          <w:b/>
          <w:bCs/>
          <w:kern w:val="21"/>
          <w:sz w:val="32"/>
        </w:rPr>
        <w:t>碳达峰</w:t>
      </w:r>
      <w:bookmarkEnd w:id="619"/>
      <w:bookmarkEnd w:id="620"/>
      <w:bookmarkEnd w:id="621"/>
      <w:bookmarkEnd w:id="622"/>
      <w:bookmarkEnd w:id="623"/>
      <w:r>
        <w:rPr>
          <w:rFonts w:hint="eastAsia" w:ascii="仿宋_GB2312" w:hAnsi="仿宋_GB2312" w:eastAsia="仿宋_GB2312" w:cs="仿宋_GB2312"/>
          <w:b/>
          <w:bCs/>
          <w:kern w:val="21"/>
          <w:sz w:val="32"/>
        </w:rPr>
        <w:t>。</w:t>
      </w:r>
      <w:r>
        <w:rPr>
          <w:rFonts w:hint="eastAsia" w:ascii="仿宋_GB2312" w:hAnsi="仿宋_GB2312" w:eastAsia="仿宋_GB2312" w:cs="仿宋_GB2312"/>
          <w:kern w:val="21"/>
          <w:sz w:val="32"/>
        </w:rPr>
        <w:t>推动能源消耗总量和强度双控逐步转向碳排放总量和强度双控。严格控制化石能源消费，大力发展清洁能源、虚拟电厂等新模式，优化能源供需结构，构建清洁低碳、安全高效的能源体系。坚决遏制高耗能、高排放项目盲目发展</w:t>
      </w:r>
      <w:r>
        <w:rPr>
          <w:rFonts w:hint="eastAsia" w:ascii="仿宋_GB2312" w:hAnsi="仿宋_GB2312" w:eastAsia="仿宋_GB2312" w:cs="仿宋_GB2312"/>
          <w:kern w:val="21"/>
          <w:sz w:val="32"/>
          <w:lang w:eastAsia="zh-CN"/>
        </w:rPr>
        <w:t>，</w:t>
      </w:r>
      <w:r>
        <w:rPr>
          <w:rFonts w:hint="eastAsia" w:ascii="仿宋_GB2312" w:hAnsi="仿宋_GB2312" w:eastAsia="仿宋_GB2312" w:cs="仿宋_GB2312"/>
          <w:kern w:val="21"/>
          <w:sz w:val="32"/>
        </w:rPr>
        <w:t>聚焦工业、建筑、交通等重点领域，集聚各类创新要素，开展绿色低碳技术创新攻关、转化应用和主体培育。巩固提升生态系统碳汇能力。探索“碳普惠”机制，鼓励绿色出行、绿色消费、绿色居住、绿色餐饮等生活方式。</w:t>
      </w:r>
      <w:r>
        <w:rPr>
          <w:rFonts w:ascii="仿宋_GB2312" w:hAnsi="仿宋_GB2312" w:eastAsia="仿宋_GB2312" w:cs="仿宋_GB2312"/>
          <w:spacing w:val="0"/>
          <w:sz w:val="32"/>
          <w:szCs w:val="32"/>
          <w:highlight w:val="none"/>
        </w:rPr>
        <w:t>到2030年</w:t>
      </w:r>
      <w:r>
        <w:rPr>
          <w:rFonts w:hint="eastAsia" w:ascii="仿宋_GB2312" w:hAnsi="仿宋_GB2312" w:eastAsia="仿宋_GB2312" w:cs="仿宋_GB2312"/>
          <w:spacing w:val="0"/>
          <w:sz w:val="32"/>
          <w:szCs w:val="32"/>
          <w:highlight w:val="none"/>
          <w:lang w:eastAsia="zh-CN"/>
        </w:rPr>
        <w:t>，</w:t>
      </w:r>
      <w:r>
        <w:rPr>
          <w:rFonts w:hint="eastAsia" w:ascii="仿宋_GB2312" w:hAnsi="仿宋_GB2312" w:eastAsia="仿宋_GB2312" w:cs="仿宋_GB2312"/>
          <w:spacing w:val="0"/>
          <w:sz w:val="32"/>
          <w:szCs w:val="32"/>
          <w:highlight w:val="none"/>
          <w:lang w:val="en-US" w:eastAsia="zh-CN"/>
        </w:rPr>
        <w:t>非化石能源消费占比较2025年提高5个百分点，推动全区区级党政机关100%建成节约型机关。</w:t>
      </w:r>
    </w:p>
    <w:p w14:paraId="3EB1CB43">
      <w:pPr>
        <w:keepNext w:val="0"/>
        <w:keepLines w:val="0"/>
        <w:pageBreakBefore w:val="0"/>
        <w:kinsoku/>
        <w:wordWrap/>
        <w:overflowPunct w:val="0"/>
        <w:topLinePunct/>
        <w:autoSpaceDE/>
        <w:autoSpaceDN/>
        <w:bidi w:val="0"/>
        <w:adjustRightInd/>
        <w:snapToGrid w:val="0"/>
        <w:spacing w:line="560" w:lineRule="exact"/>
        <w:ind w:firstLine="641"/>
        <w:textAlignment w:val="auto"/>
        <w:rPr>
          <w:rFonts w:hint="eastAsia" w:ascii="仿宋_GB2312" w:hAnsi="仿宋_GB2312" w:eastAsia="仿宋_GB2312" w:cs="仿宋_GB2312"/>
          <w:kern w:val="21"/>
          <w:sz w:val="32"/>
        </w:rPr>
      </w:pPr>
      <w:bookmarkStart w:id="624" w:name="_Toc1654991478"/>
      <w:bookmarkStart w:id="625" w:name="_Toc17569"/>
      <w:bookmarkStart w:id="626" w:name="_Toc9184"/>
      <w:bookmarkStart w:id="627" w:name="_Toc72570165"/>
      <w:bookmarkStart w:id="628" w:name="_Toc28764"/>
      <w:r>
        <w:rPr>
          <w:rStyle w:val="46"/>
          <w:rFonts w:hint="eastAsia" w:ascii="仿宋_GB2312" w:hAnsi="仿宋_GB2312" w:eastAsia="仿宋_GB2312" w:cs="Times New Roman"/>
          <w:b/>
          <w:bCs/>
          <w:kern w:val="21"/>
          <w:sz w:val="32"/>
        </w:rPr>
        <w:t>加快发展方式绿色转型</w:t>
      </w:r>
      <w:bookmarkEnd w:id="624"/>
      <w:bookmarkEnd w:id="625"/>
      <w:bookmarkEnd w:id="626"/>
      <w:bookmarkEnd w:id="627"/>
      <w:bookmarkEnd w:id="628"/>
      <w:r>
        <w:rPr>
          <w:rFonts w:hint="eastAsia" w:ascii="仿宋_GB2312" w:hAnsi="仿宋_GB2312" w:eastAsia="仿宋_GB2312" w:cs="仿宋_GB2312"/>
          <w:b/>
          <w:bCs/>
          <w:kern w:val="21"/>
          <w:sz w:val="32"/>
        </w:rPr>
        <w:t>。</w:t>
      </w:r>
      <w:r>
        <w:rPr>
          <w:rFonts w:hint="eastAsia" w:ascii="仿宋_GB2312" w:hAnsi="仿宋_GB2312" w:eastAsia="仿宋_GB2312" w:cs="仿宋_GB2312"/>
          <w:kern w:val="21"/>
          <w:sz w:val="32"/>
        </w:rPr>
        <w:t>大力发展循环经济，加强织造、印染、涂层等重点行业节能降碳和资源循环利用，推进纺织循环经济产业园等集聚区建设。推进省级以上园区循环化改造，持续健全废旧物资循环利用体系，推进垃圾污水减量化资源化。推动填埋场综合治理，探索焚烧飞灰资源化处置。</w:t>
      </w:r>
      <w:r>
        <w:rPr>
          <w:rFonts w:hint="eastAsia" w:ascii="仿宋_GB2312" w:hAnsi="仿宋_GB2312" w:eastAsia="仿宋_GB2312" w:cs="仿宋_GB2312"/>
          <w:kern w:val="21"/>
          <w:sz w:val="32"/>
          <w:szCs w:val="32"/>
        </w:rPr>
        <w:t>加快传统产业产品结构、用能结构、原料结构优化调整和工艺流程再造，推动产业结构高端化、能源消费低碳化、资源利用循环化、生产过程清洁化、制造流程数字化、产品供给绿色化全方位转型，</w:t>
      </w:r>
      <w:r>
        <w:rPr>
          <w:rFonts w:hint="eastAsia" w:ascii="仿宋_GB2312" w:hAnsi="仿宋_GB2312" w:eastAsia="仿宋_GB2312" w:cs="仿宋_GB2312"/>
          <w:kern w:val="21"/>
          <w:sz w:val="32"/>
        </w:rPr>
        <w:t>推进传统产业绿色转型。</w:t>
      </w:r>
      <w:r>
        <w:rPr>
          <w:rFonts w:hint="eastAsia" w:ascii="仿宋_GB2312" w:hAnsi="仿宋_GB2312" w:eastAsia="仿宋_GB2312" w:cs="仿宋_GB2312"/>
          <w:kern w:val="21"/>
          <w:sz w:val="32"/>
          <w:szCs w:val="32"/>
        </w:rPr>
        <w:t>构建绿色制造体系，建设一批绿色工厂、绿色园区和绿色供应链，加大绿色产品研发，实现发展含绿量、含新量协同提升。</w:t>
      </w:r>
      <w:r>
        <w:rPr>
          <w:rFonts w:hint="eastAsia" w:ascii="仿宋_GB2312" w:hAnsi="仿宋_GB2312" w:eastAsia="仿宋_GB2312" w:cs="仿宋_GB2312"/>
          <w:kern w:val="21"/>
          <w:sz w:val="32"/>
        </w:rPr>
        <w:t>推进标准化、规模化、产业化、专业化和绿色化的农业生产</w:t>
      </w:r>
      <w:r>
        <w:rPr>
          <w:rFonts w:hint="eastAsia" w:ascii="仿宋_GB2312" w:hAnsi="仿宋_GB2312" w:eastAsia="仿宋_GB2312" w:cs="仿宋_GB2312"/>
          <w:spacing w:val="11"/>
          <w:kern w:val="21"/>
          <w:sz w:val="32"/>
        </w:rPr>
        <w:t>模式，促进种养业一体化绿色发展和低碳生态农业循环经济发展。</w:t>
      </w:r>
    </w:p>
    <w:p w14:paraId="77BE075B">
      <w:pPr>
        <w:keepNext w:val="0"/>
        <w:keepLines w:val="0"/>
        <w:pageBreakBefore w:val="0"/>
        <w:kinsoku/>
        <w:wordWrap/>
        <w:overflowPunct w:val="0"/>
        <w:topLinePunct/>
        <w:autoSpaceDE/>
        <w:autoSpaceDN/>
        <w:bidi w:val="0"/>
        <w:adjustRightInd/>
        <w:snapToGrid w:val="0"/>
        <w:spacing w:line="560" w:lineRule="exact"/>
        <w:ind w:firstLine="641"/>
        <w:textAlignment w:val="auto"/>
        <w:rPr>
          <w:rFonts w:hint="default" w:ascii="仿宋_GB2312" w:hAnsi="仿宋_GB2312" w:eastAsia="仿宋_GB2312" w:cs="仿宋_GB2312"/>
          <w:kern w:val="21"/>
          <w:sz w:val="32"/>
          <w:szCs w:val="32"/>
          <w:lang w:val="en-US" w:eastAsia="zh-CN"/>
        </w:rPr>
      </w:pPr>
      <w:bookmarkStart w:id="629" w:name="_Toc1238"/>
      <w:bookmarkStart w:id="630" w:name="_Toc1246900568"/>
      <w:bookmarkStart w:id="631" w:name="_Toc8957"/>
      <w:bookmarkStart w:id="632" w:name="_Toc26920"/>
      <w:bookmarkStart w:id="633" w:name="_Toc798768057"/>
      <w:r>
        <w:rPr>
          <w:rStyle w:val="46"/>
          <w:rFonts w:hint="eastAsia" w:ascii="仿宋_GB2312" w:hAnsi="仿宋_GB2312" w:eastAsia="仿宋_GB2312" w:cs="Times New Roman"/>
          <w:b/>
          <w:bCs/>
          <w:kern w:val="21"/>
          <w:sz w:val="32"/>
          <w:lang w:val="en-US" w:eastAsia="zh-CN"/>
        </w:rPr>
        <w:t>深化</w:t>
      </w:r>
      <w:r>
        <w:rPr>
          <w:rStyle w:val="46"/>
          <w:rFonts w:hint="eastAsia" w:ascii="仿宋_GB2312" w:hAnsi="仿宋_GB2312" w:eastAsia="仿宋_GB2312" w:cs="Times New Roman"/>
          <w:b/>
          <w:bCs/>
          <w:kern w:val="21"/>
          <w:sz w:val="32"/>
        </w:rPr>
        <w:t>节约集约发展模式</w:t>
      </w:r>
      <w:bookmarkEnd w:id="629"/>
      <w:bookmarkEnd w:id="630"/>
      <w:bookmarkEnd w:id="631"/>
      <w:bookmarkEnd w:id="632"/>
      <w:bookmarkEnd w:id="633"/>
      <w:r>
        <w:rPr>
          <w:rFonts w:hint="eastAsia" w:ascii="仿宋_GB2312" w:hAnsi="仿宋_GB2312" w:eastAsia="仿宋_GB2312" w:cs="仿宋_GB2312"/>
          <w:b/>
          <w:bCs/>
          <w:kern w:val="21"/>
          <w:sz w:val="32"/>
        </w:rPr>
        <w:t>。</w:t>
      </w:r>
      <w:r>
        <w:rPr>
          <w:rFonts w:hint="eastAsia" w:ascii="仿宋_GB2312" w:hAnsi="仿宋_GB2312" w:eastAsia="仿宋_GB2312" w:cs="仿宋_GB2312"/>
          <w:kern w:val="21"/>
          <w:sz w:val="32"/>
          <w:szCs w:val="32"/>
        </w:rPr>
        <w:t>纵深推进全域土地综合整治国家级试点，通过系统性、全要素的“吴江探索”，破解城乡融合、产业升级、生态治理等一系列深层次问题</w:t>
      </w:r>
      <w:r>
        <w:rPr>
          <w:rFonts w:hint="eastAsia" w:ascii="仿宋_GB2312" w:hAnsi="仿宋_GB2312" w:eastAsia="仿宋_GB2312" w:cs="仿宋_GB2312"/>
          <w:kern w:val="21"/>
          <w:sz w:val="32"/>
          <w:szCs w:val="32"/>
          <w:lang w:eastAsia="zh-CN"/>
        </w:rPr>
        <w:t>，</w:t>
      </w:r>
      <w:r>
        <w:rPr>
          <w:rFonts w:hint="eastAsia" w:ascii="仿宋_GB2312" w:hAnsi="仿宋_GB2312" w:eastAsia="仿宋_GB2312" w:cs="仿宋_GB2312"/>
          <w:kern w:val="21"/>
          <w:sz w:val="32"/>
          <w:szCs w:val="32"/>
        </w:rPr>
        <w:t>统筹推进农用地整治、建设用地整治、生态保护修复、公共空间治理和历史文化保护等工作，推动形成“三带六区”整治格局。开展土地征收成片开发方案编制，统筹资源保护与利用，严格用途管控</w:t>
      </w:r>
      <w:r>
        <w:rPr>
          <w:rFonts w:hint="eastAsia" w:ascii="仿宋_GB2312" w:hAnsi="仿宋_GB2312" w:eastAsia="仿宋_GB2312" w:cs="仿宋_GB2312"/>
          <w:kern w:val="21"/>
          <w:sz w:val="32"/>
          <w:szCs w:val="32"/>
          <w:lang w:eastAsia="zh-CN"/>
        </w:rPr>
        <w:t>。</w:t>
      </w:r>
      <w:r>
        <w:rPr>
          <w:rFonts w:hint="eastAsia" w:ascii="仿宋_GB2312" w:hAnsi="仿宋_GB2312" w:eastAsia="仿宋_GB2312" w:cs="仿宋_GB2312"/>
          <w:kern w:val="21"/>
          <w:sz w:val="32"/>
          <w:szCs w:val="32"/>
        </w:rPr>
        <w:t>坚定走内涵式集约化发展道路，狠抓数据得地、零地技改等工作，加快低效用地转型步伐，丰富自我整优、合作开发、项目嫁接等多元更新模式，让土地等资源要素向新质生产力顺畅流动和高效配置。加快整合更新产业园区，推动“小而散”的村镇工业向“大而美”的现代产业园转化，实现园区空间重构、产业结构优化、城乡品质再造。</w:t>
      </w:r>
    </w:p>
    <w:p w14:paraId="1DDE859E">
      <w:pPr>
        <w:keepNext w:val="0"/>
        <w:keepLines w:val="0"/>
        <w:pageBreakBefore w:val="0"/>
        <w:kinsoku/>
        <w:wordWrap/>
        <w:overflowPunct w:val="0"/>
        <w:topLinePunct/>
        <w:autoSpaceDE/>
        <w:autoSpaceDN/>
        <w:bidi w:val="0"/>
        <w:adjustRightInd/>
        <w:spacing w:line="560" w:lineRule="exact"/>
        <w:textAlignment w:val="auto"/>
        <w:rPr>
          <w:rFonts w:ascii="Times New Roman" w:hAnsi="Times New Roman" w:eastAsia="黑体" w:cs="Times New Roman"/>
          <w:b/>
          <w:bCs/>
          <w:kern w:val="21"/>
          <w:sz w:val="32"/>
          <w:szCs w:val="32"/>
        </w:rPr>
      </w:pPr>
      <w:r>
        <w:rPr>
          <w:rFonts w:ascii="Times New Roman" w:hAnsi="Times New Roman" w:eastAsia="黑体" w:cs="Times New Roman"/>
          <w:b/>
          <w:bCs/>
          <w:kern w:val="21"/>
          <w:sz w:val="32"/>
          <w:szCs w:val="32"/>
        </w:rPr>
        <w:br w:type="page"/>
      </w:r>
    </w:p>
    <w:p w14:paraId="684FF5CC">
      <w:pPr>
        <w:pStyle w:val="2"/>
        <w:keepNext w:val="0"/>
        <w:keepLines w:val="0"/>
        <w:pageBreakBefore w:val="0"/>
        <w:kinsoku/>
        <w:wordWrap/>
        <w:overflowPunct w:val="0"/>
        <w:topLinePunct/>
        <w:autoSpaceDE/>
        <w:autoSpaceDN/>
        <w:bidi w:val="0"/>
        <w:adjustRightInd/>
        <w:spacing w:line="550" w:lineRule="exact"/>
        <w:textAlignment w:val="auto"/>
        <w:rPr>
          <w:rFonts w:hint="default"/>
          <w:spacing w:val="-6"/>
          <w:lang w:val="en-US" w:eastAsia="zh-CN"/>
        </w:rPr>
      </w:pPr>
      <w:bookmarkStart w:id="634" w:name="_Toc21483"/>
      <w:bookmarkStart w:id="635" w:name="_Toc9712"/>
      <w:bookmarkStart w:id="636" w:name="_Toc185104139"/>
      <w:bookmarkStart w:id="637" w:name="_Toc6981"/>
      <w:bookmarkStart w:id="638" w:name="_Toc25599"/>
      <w:bookmarkStart w:id="639" w:name="_Toc19220"/>
      <w:bookmarkStart w:id="640" w:name="_Toc2026480591"/>
      <w:bookmarkStart w:id="641" w:name="_Toc1812961257"/>
      <w:bookmarkStart w:id="642" w:name="_Toc3306"/>
      <w:bookmarkStart w:id="643" w:name="_Toc14601"/>
      <w:r>
        <w:rPr>
          <w:rFonts w:hint="eastAsia"/>
          <w:spacing w:val="-6"/>
        </w:rPr>
        <w:t>第</w:t>
      </w:r>
      <w:r>
        <w:rPr>
          <w:rFonts w:hint="eastAsia"/>
          <w:spacing w:val="-6"/>
          <w:lang w:eastAsia="zh-CN"/>
        </w:rPr>
        <w:t>十三</w:t>
      </w:r>
      <w:r>
        <w:rPr>
          <w:rFonts w:hint="eastAsia"/>
          <w:spacing w:val="-6"/>
        </w:rPr>
        <w:t xml:space="preserve">章  </w:t>
      </w:r>
      <w:bookmarkEnd w:id="634"/>
      <w:bookmarkEnd w:id="635"/>
      <w:bookmarkEnd w:id="636"/>
      <w:bookmarkEnd w:id="637"/>
      <w:bookmarkEnd w:id="638"/>
      <w:r>
        <w:rPr>
          <w:rFonts w:hint="eastAsia"/>
          <w:spacing w:val="-6"/>
        </w:rPr>
        <w:t>更好统筹发展和安全，</w:t>
      </w:r>
      <w:bookmarkEnd w:id="639"/>
      <w:bookmarkEnd w:id="640"/>
      <w:bookmarkEnd w:id="641"/>
      <w:bookmarkEnd w:id="642"/>
      <w:bookmarkEnd w:id="643"/>
      <w:r>
        <w:rPr>
          <w:rFonts w:hint="eastAsia"/>
          <w:spacing w:val="-6"/>
          <w:lang w:val="en-US" w:eastAsia="zh-CN"/>
        </w:rPr>
        <w:t>推进治理体系和治理能力现代化</w:t>
      </w:r>
    </w:p>
    <w:p w14:paraId="1E76FE28">
      <w:pPr>
        <w:keepNext w:val="0"/>
        <w:keepLines w:val="0"/>
        <w:pageBreakBefore w:val="0"/>
        <w:kinsoku/>
        <w:wordWrap/>
        <w:overflowPunct w:val="0"/>
        <w:topLinePunct/>
        <w:autoSpaceDE/>
        <w:autoSpaceDN/>
        <w:bidi w:val="0"/>
        <w:adjustRightInd/>
        <w:spacing w:line="550" w:lineRule="exact"/>
        <w:ind w:firstLine="0" w:firstLineChars="0"/>
        <w:textAlignment w:val="auto"/>
        <w:rPr>
          <w:rFonts w:hint="eastAsia" w:ascii="仿宋_GB2312" w:hAnsi="仿宋_GB2312" w:eastAsia="仿宋_GB2312" w:cs="仿宋_GB2312"/>
          <w:kern w:val="21"/>
          <w:sz w:val="32"/>
        </w:rPr>
      </w:pPr>
    </w:p>
    <w:p w14:paraId="608FC59A">
      <w:pPr>
        <w:keepNext w:val="0"/>
        <w:keepLines w:val="0"/>
        <w:pageBreakBefore w:val="0"/>
        <w:widowControl w:val="0"/>
        <w:kinsoku/>
        <w:wordWrap/>
        <w:overflowPunct w:val="0"/>
        <w:topLinePunct/>
        <w:autoSpaceDE/>
        <w:autoSpaceDN/>
        <w:bidi w:val="0"/>
        <w:adjustRightInd/>
        <w:spacing w:line="580" w:lineRule="exact"/>
        <w:ind w:firstLine="640" w:firstLineChars="200"/>
        <w:jc w:val="left"/>
        <w:textAlignment w:val="auto"/>
        <w:rPr>
          <w:rFonts w:hint="eastAsia" w:ascii="仿宋_GB2312" w:hAnsi="仿宋_GB2312" w:eastAsia="仿宋_GB2312" w:cs="仿宋_GB2312"/>
          <w:bCs/>
          <w:kern w:val="21"/>
          <w:sz w:val="32"/>
          <w:szCs w:val="32"/>
        </w:rPr>
      </w:pPr>
      <w:r>
        <w:rPr>
          <w:rFonts w:hint="eastAsia" w:ascii="仿宋_GB2312" w:hAnsi="仿宋_GB2312" w:eastAsia="仿宋_GB2312" w:cs="仿宋_GB2312"/>
          <w:kern w:val="21"/>
          <w:sz w:val="32"/>
          <w:lang w:eastAsia="zh-CN"/>
        </w:rPr>
        <w:t>坚定不移贯彻</w:t>
      </w:r>
      <w:r>
        <w:rPr>
          <w:rFonts w:hint="eastAsia" w:ascii="仿宋_GB2312" w:hAnsi="仿宋_GB2312" w:eastAsia="仿宋_GB2312" w:cs="仿宋_GB2312"/>
          <w:kern w:val="21"/>
          <w:sz w:val="32"/>
        </w:rPr>
        <w:t>总体国家安全观，</w:t>
      </w:r>
      <w:r>
        <w:rPr>
          <w:rFonts w:hint="eastAsia" w:ascii="仿宋_GB2312" w:hAnsi="仿宋_GB2312" w:eastAsia="仿宋_GB2312" w:cs="仿宋_GB2312"/>
          <w:color w:val="auto"/>
          <w:sz w:val="32"/>
          <w:szCs w:val="32"/>
          <w:lang w:val="en-US" w:eastAsia="zh-CN"/>
        </w:rPr>
        <w:t>落实苏州安全发展能力提升工程，</w:t>
      </w:r>
      <w:r>
        <w:rPr>
          <w:rFonts w:hint="eastAsia" w:ascii="仿宋_GB2312" w:hAnsi="仿宋_GB2312" w:eastAsia="仿宋_GB2312" w:cs="仿宋_GB2312"/>
          <w:kern w:val="21"/>
          <w:sz w:val="32"/>
        </w:rPr>
        <w:t>把安全发展贯穿城市发展各领域和全过程，</w:t>
      </w:r>
      <w:r>
        <w:rPr>
          <w:rFonts w:hint="eastAsia" w:ascii="仿宋_GB2312" w:hAnsi="仿宋_GB2312" w:eastAsia="仿宋_GB2312" w:cs="仿宋_GB2312"/>
          <w:kern w:val="21"/>
          <w:sz w:val="32"/>
          <w:szCs w:val="32"/>
          <w:lang w:val="en"/>
        </w:rPr>
        <w:t>提升社会治理效能，</w:t>
      </w:r>
      <w:r>
        <w:rPr>
          <w:rFonts w:hint="eastAsia" w:ascii="仿宋_GB2312" w:hAnsi="仿宋_GB2312" w:eastAsia="仿宋_GB2312" w:cs="仿宋_GB2312"/>
          <w:kern w:val="21"/>
          <w:sz w:val="32"/>
          <w:szCs w:val="32"/>
          <w:lang w:val="en-US" w:eastAsia="zh-CN"/>
        </w:rPr>
        <w:t>提高各类</w:t>
      </w:r>
      <w:r>
        <w:rPr>
          <w:rFonts w:hint="eastAsia" w:ascii="仿宋_GB2312" w:hAnsi="仿宋_GB2312" w:eastAsia="仿宋_GB2312" w:cs="仿宋_GB2312"/>
          <w:kern w:val="21"/>
          <w:sz w:val="32"/>
          <w:szCs w:val="32"/>
        </w:rPr>
        <w:t>风险</w:t>
      </w:r>
      <w:r>
        <w:rPr>
          <w:rFonts w:hint="eastAsia" w:ascii="仿宋_GB2312" w:hAnsi="仿宋_GB2312" w:eastAsia="仿宋_GB2312" w:cs="仿宋_GB2312"/>
          <w:kern w:val="21"/>
          <w:sz w:val="32"/>
          <w:szCs w:val="32"/>
          <w:lang w:val="en-US" w:eastAsia="zh-CN"/>
        </w:rPr>
        <w:t>预防和处置</w:t>
      </w:r>
      <w:r>
        <w:rPr>
          <w:rFonts w:hint="eastAsia" w:ascii="仿宋_GB2312" w:hAnsi="仿宋_GB2312" w:eastAsia="仿宋_GB2312" w:cs="仿宋_GB2312"/>
          <w:kern w:val="21"/>
          <w:sz w:val="32"/>
          <w:szCs w:val="32"/>
        </w:rPr>
        <w:t>能力，</w:t>
      </w:r>
      <w:r>
        <w:rPr>
          <w:rFonts w:hint="eastAsia" w:ascii="仿宋_GB2312" w:hAnsi="仿宋_GB2312" w:eastAsia="仿宋_GB2312" w:cs="仿宋_GB2312"/>
          <w:kern w:val="21"/>
          <w:sz w:val="32"/>
          <w:szCs w:val="32"/>
          <w:lang w:val="en"/>
        </w:rPr>
        <w:t>加快推进</w:t>
      </w:r>
      <w:r>
        <w:rPr>
          <w:rFonts w:hint="eastAsia" w:ascii="仿宋_GB2312" w:hAnsi="仿宋_GB2312" w:eastAsia="仿宋_GB2312" w:cs="仿宋_GB2312"/>
          <w:kern w:val="21"/>
          <w:sz w:val="32"/>
          <w:szCs w:val="32"/>
        </w:rPr>
        <w:t>数字吴江、</w:t>
      </w:r>
      <w:r>
        <w:rPr>
          <w:rFonts w:hint="eastAsia" w:ascii="仿宋_GB2312" w:hAnsi="仿宋_GB2312" w:eastAsia="仿宋_GB2312" w:cs="仿宋_GB2312"/>
          <w:kern w:val="21"/>
          <w:sz w:val="32"/>
          <w:szCs w:val="32"/>
          <w:lang w:val="en"/>
        </w:rPr>
        <w:t>法治吴江、平安吴江建设，让城市更具智慧、</w:t>
      </w:r>
      <w:r>
        <w:rPr>
          <w:rFonts w:hint="eastAsia" w:ascii="仿宋_GB2312" w:hAnsi="仿宋_GB2312" w:eastAsia="仿宋_GB2312" w:cs="仿宋_GB2312"/>
          <w:kern w:val="21"/>
          <w:sz w:val="32"/>
          <w:szCs w:val="32"/>
        </w:rPr>
        <w:t>更为高效、</w:t>
      </w:r>
      <w:r>
        <w:rPr>
          <w:rFonts w:hint="eastAsia" w:ascii="仿宋_GB2312" w:hAnsi="仿宋_GB2312" w:eastAsia="仿宋_GB2312" w:cs="仿宋_GB2312"/>
          <w:kern w:val="21"/>
          <w:sz w:val="32"/>
          <w:szCs w:val="32"/>
          <w:lang w:val="en"/>
        </w:rPr>
        <w:t>更有韧性。</w:t>
      </w:r>
    </w:p>
    <w:p w14:paraId="0F39D737">
      <w:pPr>
        <w:pStyle w:val="3"/>
        <w:keepNext w:val="0"/>
        <w:keepLines w:val="0"/>
        <w:pageBreakBefore w:val="0"/>
        <w:widowControl w:val="0"/>
        <w:kinsoku/>
        <w:wordWrap/>
        <w:overflowPunct w:val="0"/>
        <w:topLinePunct/>
        <w:autoSpaceDE/>
        <w:autoSpaceDN/>
        <w:bidi w:val="0"/>
        <w:adjustRightInd/>
        <w:spacing w:before="156" w:after="156" w:line="580" w:lineRule="exact"/>
        <w:jc w:val="center"/>
        <w:textAlignment w:val="auto"/>
        <w:rPr>
          <w:rFonts w:ascii="楷体_GB2312" w:hAnsi="楷体_GB2312" w:eastAsia="楷体_GB2312" w:cs="楷体_GB2312"/>
          <w:kern w:val="21"/>
        </w:rPr>
      </w:pPr>
      <w:bookmarkStart w:id="644" w:name="_Toc29311"/>
      <w:bookmarkStart w:id="645" w:name="_Toc685606335"/>
      <w:bookmarkStart w:id="646" w:name="_Toc348586330"/>
      <w:bookmarkStart w:id="647" w:name="_Toc4484"/>
      <w:bookmarkStart w:id="648" w:name="_Toc28480"/>
      <w:bookmarkStart w:id="649" w:name="_Toc30798"/>
      <w:bookmarkStart w:id="650" w:name="_Toc1237696816"/>
      <w:bookmarkStart w:id="651" w:name="_Toc17704"/>
      <w:bookmarkStart w:id="652" w:name="_Toc6412"/>
      <w:bookmarkStart w:id="653" w:name="_Toc26762"/>
      <w:r>
        <w:rPr>
          <w:rFonts w:ascii="楷体_GB2312" w:hAnsi="楷体_GB2312" w:eastAsia="楷体_GB2312" w:cs="楷体_GB2312"/>
          <w:kern w:val="21"/>
        </w:rPr>
        <w:t xml:space="preserve">第一节 </w:t>
      </w:r>
      <w:r>
        <w:rPr>
          <w:rFonts w:hint="eastAsia" w:ascii="楷体_GB2312" w:hAnsi="楷体_GB2312" w:eastAsia="楷体_GB2312" w:cs="楷体_GB2312"/>
          <w:kern w:val="21"/>
          <w:lang w:val="en-US" w:eastAsia="zh-CN"/>
        </w:rPr>
        <w:t xml:space="preserve"> </w:t>
      </w:r>
      <w:r>
        <w:rPr>
          <w:rFonts w:ascii="楷体_GB2312" w:hAnsi="楷体_GB2312" w:eastAsia="楷体_GB2312" w:cs="楷体_GB2312"/>
          <w:kern w:val="21"/>
        </w:rPr>
        <w:t>提升社会治理现代化水平</w:t>
      </w:r>
      <w:bookmarkEnd w:id="644"/>
      <w:bookmarkEnd w:id="645"/>
      <w:bookmarkEnd w:id="646"/>
      <w:bookmarkEnd w:id="647"/>
      <w:bookmarkEnd w:id="648"/>
      <w:bookmarkEnd w:id="649"/>
      <w:bookmarkEnd w:id="650"/>
      <w:bookmarkEnd w:id="651"/>
      <w:bookmarkEnd w:id="652"/>
      <w:bookmarkEnd w:id="653"/>
    </w:p>
    <w:p w14:paraId="4EC85998">
      <w:pPr>
        <w:keepNext w:val="0"/>
        <w:keepLines w:val="0"/>
        <w:pageBreakBefore w:val="0"/>
        <w:widowControl w:val="0"/>
        <w:kinsoku/>
        <w:wordWrap/>
        <w:overflowPunct w:val="0"/>
        <w:topLinePunct/>
        <w:autoSpaceDE/>
        <w:autoSpaceDN/>
        <w:bidi w:val="0"/>
        <w:adjustRightInd/>
        <w:spacing w:line="580" w:lineRule="exact"/>
        <w:ind w:firstLine="640" w:firstLineChars="200"/>
        <w:jc w:val="left"/>
        <w:textAlignment w:val="auto"/>
        <w:rPr>
          <w:rFonts w:hint="eastAsia" w:ascii="仿宋_GB2312" w:hAnsi="仿宋_GB2312" w:eastAsia="仿宋_GB2312" w:cs="仿宋_GB2312"/>
          <w:b/>
          <w:bCs/>
          <w:kern w:val="21"/>
          <w:sz w:val="32"/>
        </w:rPr>
      </w:pPr>
      <w:r>
        <w:rPr>
          <w:rFonts w:hint="eastAsia" w:ascii="仿宋_GB2312" w:hAnsi="仿宋_GB2312" w:eastAsia="仿宋_GB2312" w:cs="仿宋_GB2312"/>
          <w:kern w:val="21"/>
          <w:sz w:val="32"/>
          <w:szCs w:val="32"/>
        </w:rPr>
        <w:t>坚持和发展新时代“枫桥经验”，提升社会治理智能化、精细化、现代化水平，</w:t>
      </w:r>
      <w:r>
        <w:rPr>
          <w:rFonts w:hint="eastAsia" w:ascii="仿宋_GB2312" w:hAnsi="仿宋_GB2312" w:eastAsia="仿宋_GB2312" w:cs="仿宋_GB2312"/>
          <w:kern w:val="21"/>
          <w:sz w:val="32"/>
        </w:rPr>
        <w:t>加快完善共建共治共享的社会治理格局，打造现代化善治体系。</w:t>
      </w:r>
    </w:p>
    <w:p w14:paraId="3CAEAD61">
      <w:pPr>
        <w:keepNext w:val="0"/>
        <w:keepLines w:val="0"/>
        <w:pageBreakBefore w:val="0"/>
        <w:widowControl w:val="0"/>
        <w:kinsoku/>
        <w:wordWrap/>
        <w:overflowPunct w:val="0"/>
        <w:topLinePunct/>
        <w:autoSpaceDE/>
        <w:autoSpaceDN/>
        <w:bidi w:val="0"/>
        <w:adjustRightInd/>
        <w:snapToGrid/>
        <w:spacing w:line="560" w:lineRule="exact"/>
        <w:ind w:firstLine="643" w:firstLineChars="200"/>
        <w:jc w:val="left"/>
        <w:textAlignment w:val="auto"/>
        <w:rPr>
          <w:rFonts w:hint="eastAsia" w:ascii="仿宋_GB2312" w:hAnsi="仿宋_GB2312" w:eastAsia="仿宋_GB2312" w:cs="仿宋_GB2312"/>
          <w:kern w:val="21"/>
          <w:sz w:val="32"/>
          <w:szCs w:val="32"/>
        </w:rPr>
      </w:pPr>
      <w:bookmarkStart w:id="654" w:name="_Toc23733"/>
      <w:bookmarkStart w:id="655" w:name="_Toc4046"/>
      <w:bookmarkStart w:id="656" w:name="_Toc782066861"/>
      <w:bookmarkStart w:id="657" w:name="_Toc756503801"/>
      <w:bookmarkStart w:id="658" w:name="_Toc127"/>
      <w:r>
        <w:rPr>
          <w:rStyle w:val="46"/>
          <w:rFonts w:hint="eastAsia" w:ascii="仿宋_GB2312" w:hAnsi="仿宋_GB2312" w:eastAsia="仿宋_GB2312" w:cs="Times New Roman"/>
          <w:b/>
          <w:bCs/>
          <w:kern w:val="21"/>
          <w:sz w:val="32"/>
        </w:rPr>
        <w:t>加快数字吴江建设</w:t>
      </w:r>
      <w:bookmarkEnd w:id="654"/>
      <w:bookmarkEnd w:id="655"/>
      <w:bookmarkEnd w:id="656"/>
      <w:bookmarkEnd w:id="657"/>
      <w:bookmarkEnd w:id="658"/>
      <w:r>
        <w:rPr>
          <w:rFonts w:hint="eastAsia" w:ascii="仿宋_GB2312" w:hAnsi="仿宋_GB2312" w:eastAsia="仿宋_GB2312" w:cs="仿宋_GB2312"/>
          <w:b/>
          <w:bCs/>
          <w:kern w:val="21"/>
          <w:sz w:val="32"/>
        </w:rPr>
        <w:t>。</w:t>
      </w:r>
      <w:r>
        <w:rPr>
          <w:rFonts w:hint="eastAsia" w:ascii="仿宋_GB2312" w:hAnsi="仿宋_GB2312" w:eastAsia="仿宋_GB2312" w:cs="仿宋_GB2312"/>
          <w:color w:val="auto"/>
          <w:sz w:val="32"/>
          <w:szCs w:val="32"/>
          <w:highlight w:val="none"/>
          <w:lang w:val="en-US" w:eastAsia="zh-CN"/>
        </w:rPr>
        <w:t>健全完善数据基础制度，创新数据开发利用机制，探索公共数据授权运营、分级开发的市场化路径。</w:t>
      </w:r>
      <w:r>
        <w:rPr>
          <w:rFonts w:hint="eastAsia" w:ascii="仿宋_GB2312" w:hAnsi="仿宋_GB2312" w:eastAsia="仿宋_GB2312" w:cs="仿宋_GB2312"/>
          <w:kern w:val="21"/>
          <w:sz w:val="32"/>
          <w:szCs w:val="32"/>
        </w:rPr>
        <w:t>建设数据要素赋能体系，深化数据资源开放共享，推进高质量数据集建设，支持数据产品流通交易，探索适数化制度创新。统筹政务云、政务网、城市数据资源池建设，健全一体化公共数据“一本账”，完善可信数据空间等技术设施，筑牢安全可靠的全域协同数字基石。统筹全区数据要素归集，推进“数字吴江驾驶舱”建设，</w:t>
      </w:r>
      <w:r>
        <w:rPr>
          <w:rFonts w:hint="eastAsia" w:ascii="仿宋_GB2312" w:hAnsi="仿宋_GB2312" w:eastAsia="仿宋_GB2312" w:cs="仿宋_GB2312"/>
          <w:kern w:val="21"/>
          <w:sz w:val="32"/>
          <w:szCs w:val="32"/>
          <w:highlight w:val="none"/>
          <w:lang w:eastAsia="zh-CN"/>
        </w:rPr>
        <w:t>推动“综合飞一次”改革，</w:t>
      </w:r>
      <w:r>
        <w:rPr>
          <w:rFonts w:hint="eastAsia" w:ascii="仿宋_GB2312" w:hAnsi="仿宋_GB2312" w:eastAsia="仿宋_GB2312" w:cs="仿宋_GB2312"/>
          <w:kern w:val="21"/>
          <w:sz w:val="32"/>
          <w:szCs w:val="32"/>
          <w:lang w:eastAsia="zh-CN"/>
        </w:rPr>
        <w:t>以</w:t>
      </w:r>
      <w:r>
        <w:rPr>
          <w:rFonts w:hint="eastAsia" w:ascii="仿宋_GB2312" w:hAnsi="仿宋_GB2312" w:eastAsia="仿宋_GB2312" w:cs="仿宋_GB2312"/>
          <w:kern w:val="21"/>
          <w:sz w:val="32"/>
          <w:szCs w:val="32"/>
          <w:lang w:val="en-US" w:eastAsia="zh-CN"/>
        </w:rPr>
        <w:t>AI无人机赋能跨部门协同巡察；</w:t>
      </w:r>
      <w:r>
        <w:rPr>
          <w:rFonts w:hint="eastAsia" w:ascii="仿宋_GB2312" w:hAnsi="仿宋_GB2312" w:eastAsia="仿宋_GB2312" w:cs="仿宋_GB2312"/>
          <w:kern w:val="21"/>
          <w:sz w:val="32"/>
          <w:szCs w:val="32"/>
        </w:rPr>
        <w:t>深化“高效办成一件事”改革，挖掘更多数智赋能应用场景，打造透明、高效、智慧的数字政府生态体系</w:t>
      </w:r>
      <w:r>
        <w:rPr>
          <w:rFonts w:hint="eastAsia" w:ascii="仿宋_GB2312" w:hAnsi="仿宋_GB2312" w:eastAsia="仿宋_GB2312" w:cs="仿宋_GB2312"/>
          <w:kern w:val="21"/>
          <w:sz w:val="32"/>
          <w:szCs w:val="32"/>
          <w:lang w:val="en-US" w:eastAsia="zh-CN"/>
        </w:rPr>
        <w:t>，实现全域智慧监管、高效治理和服务提质</w:t>
      </w:r>
      <w:r>
        <w:rPr>
          <w:rFonts w:hint="eastAsia" w:ascii="仿宋_GB2312" w:hAnsi="仿宋_GB2312" w:eastAsia="仿宋_GB2312" w:cs="仿宋_GB2312"/>
          <w:kern w:val="21"/>
          <w:sz w:val="32"/>
          <w:szCs w:val="32"/>
        </w:rPr>
        <w:t>。</w:t>
      </w:r>
      <w:r>
        <w:rPr>
          <w:rFonts w:hint="eastAsia" w:ascii="仿宋_GB2312" w:hAnsi="仿宋_GB2312" w:eastAsia="仿宋_GB2312" w:cs="仿宋_GB2312"/>
          <w:spacing w:val="0"/>
          <w:sz w:val="32"/>
          <w:szCs w:val="32"/>
          <w:lang w:val="en-US" w:eastAsia="zh-CN"/>
        </w:rPr>
        <w:t>创新数字社会治理模式，</w:t>
      </w:r>
      <w:r>
        <w:rPr>
          <w:rFonts w:hint="eastAsia" w:ascii="仿宋_GB2312" w:hAnsi="仿宋_GB2312" w:eastAsia="仿宋_GB2312" w:cs="仿宋_GB2312"/>
          <w:b w:val="0"/>
          <w:bCs/>
          <w:kern w:val="0"/>
          <w:sz w:val="32"/>
          <w:szCs w:val="32"/>
          <w:lang w:val="en-US" w:eastAsia="zh-CN"/>
        </w:rPr>
        <w:t>推动数字平台建设</w:t>
      </w:r>
      <w:r>
        <w:rPr>
          <w:rFonts w:hint="eastAsia" w:ascii="仿宋_GB2312" w:hAnsi="仿宋_GB2312" w:eastAsia="仿宋_GB2312" w:cs="仿宋_GB2312"/>
          <w:b w:val="0"/>
          <w:bCs/>
          <w:snapToGrid/>
          <w:spacing w:val="0"/>
          <w:kern w:val="0"/>
          <w:sz w:val="32"/>
          <w:szCs w:val="32"/>
          <w:lang w:eastAsia="zh-CN"/>
        </w:rPr>
        <w:t>。</w:t>
      </w:r>
      <w:r>
        <w:rPr>
          <w:rFonts w:hint="eastAsia" w:ascii="仿宋_GB2312" w:hAnsi="仿宋_GB2312" w:eastAsia="仿宋_GB2312" w:cs="仿宋_GB2312"/>
          <w:kern w:val="21"/>
          <w:sz w:val="32"/>
          <w:szCs w:val="32"/>
        </w:rPr>
        <w:t>实施数字养老、智慧医疗、智慧教育、数字社区与数字乡村五大行动，实现数字红利全民共享，打造独具水乡特色的数字社会。</w:t>
      </w:r>
    </w:p>
    <w:p w14:paraId="1DB9D917">
      <w:pPr>
        <w:keepNext w:val="0"/>
        <w:keepLines w:val="0"/>
        <w:pageBreakBefore w:val="0"/>
        <w:widowControl w:val="0"/>
        <w:kinsoku/>
        <w:wordWrap/>
        <w:overflowPunct w:val="0"/>
        <w:topLinePunct/>
        <w:autoSpaceDE/>
        <w:autoSpaceDN/>
        <w:bidi w:val="0"/>
        <w:adjustRightInd/>
        <w:snapToGrid/>
        <w:spacing w:line="560" w:lineRule="exact"/>
        <w:ind w:firstLine="643" w:firstLineChars="200"/>
        <w:jc w:val="left"/>
        <w:textAlignment w:val="auto"/>
        <w:rPr>
          <w:rFonts w:hint="eastAsia" w:ascii="仿宋_GB2312" w:hAnsi="仿宋_GB2312" w:eastAsia="仿宋_GB2312" w:cs="仿宋_GB2312"/>
          <w:kern w:val="21"/>
          <w:sz w:val="32"/>
          <w:szCs w:val="32"/>
        </w:rPr>
      </w:pPr>
      <w:bookmarkStart w:id="659" w:name="_Toc1046932474"/>
      <w:bookmarkStart w:id="660" w:name="_Toc12722"/>
      <w:bookmarkStart w:id="661" w:name="_Toc31921"/>
      <w:bookmarkStart w:id="662" w:name="_Toc2068606128"/>
      <w:bookmarkStart w:id="663" w:name="_Toc5312"/>
      <w:r>
        <w:rPr>
          <w:rStyle w:val="46"/>
          <w:rFonts w:hint="eastAsia" w:ascii="仿宋_GB2312" w:hAnsi="仿宋_GB2312" w:eastAsia="仿宋_GB2312" w:cs="Times New Roman"/>
          <w:b/>
          <w:bCs/>
          <w:kern w:val="21"/>
          <w:sz w:val="32"/>
        </w:rPr>
        <w:t>加快法治吴江建设</w:t>
      </w:r>
      <w:bookmarkEnd w:id="659"/>
      <w:bookmarkEnd w:id="660"/>
      <w:bookmarkEnd w:id="661"/>
      <w:bookmarkEnd w:id="662"/>
      <w:bookmarkEnd w:id="663"/>
      <w:r>
        <w:rPr>
          <w:rFonts w:hint="eastAsia" w:ascii="仿宋_GB2312" w:hAnsi="仿宋_GB2312" w:eastAsia="仿宋_GB2312" w:cs="仿宋_GB2312"/>
          <w:b/>
          <w:bCs/>
          <w:kern w:val="21"/>
          <w:sz w:val="32"/>
        </w:rPr>
        <w:t>。</w:t>
      </w:r>
      <w:r>
        <w:rPr>
          <w:rFonts w:hint="eastAsia" w:ascii="仿宋_GB2312" w:hAnsi="仿宋_GB2312" w:eastAsia="仿宋_GB2312" w:cs="仿宋_GB2312"/>
          <w:kern w:val="21"/>
          <w:sz w:val="32"/>
          <w:szCs w:val="32"/>
        </w:rPr>
        <w:t>持续深化法治领域改革，建立健全涉企政策影响评估机制，培优配强基层法制审核力量，推动区镇两级法制审核体系顺畅运行。规范涉企执法司法，推动示范区统一执法裁量基准落地实施，打造“立审执破”融合样板，推进法律服务进商会、进园区。</w:t>
      </w:r>
      <w:r>
        <w:rPr>
          <w:rFonts w:hint="eastAsia" w:ascii="仿宋_GB2312" w:hAnsi="仿宋_GB2312" w:eastAsia="仿宋_GB2312" w:cs="仿宋_GB2312"/>
          <w:kern w:val="21"/>
          <w:sz w:val="32"/>
          <w:szCs w:val="32"/>
          <w:lang w:val="en"/>
        </w:rPr>
        <w:t>深化“产业链+法律服务”，推动法律服务向重大战略、重点工程、重要项目聚集，服务保障发展新质生产力。</w:t>
      </w:r>
      <w:r>
        <w:rPr>
          <w:rFonts w:hint="eastAsia" w:ascii="仿宋_GB2312" w:hAnsi="仿宋_GB2312" w:eastAsia="仿宋_GB2312" w:cs="仿宋_GB2312"/>
          <w:kern w:val="21"/>
          <w:sz w:val="32"/>
          <w:szCs w:val="32"/>
        </w:rPr>
        <w:t>健全涉外法律服务网络建设，实施机构引强培优，构建跨法域、跨边界、跨产业的复合型人才高地，拓展涉外、数据等新兴领域公证业务，打造专业化、国际化、市场化的法律服务集聚区。开展法治素养提升专项行动，做优线上线下融合的法治宣传教育矩阵，让尊法学法守法用法在全社会蔚然成风。</w:t>
      </w:r>
    </w:p>
    <w:p w14:paraId="0F6D4F7C">
      <w:pPr>
        <w:keepNext w:val="0"/>
        <w:keepLines w:val="0"/>
        <w:pageBreakBefore w:val="0"/>
        <w:widowControl w:val="0"/>
        <w:kinsoku/>
        <w:wordWrap/>
        <w:overflowPunct w:val="0"/>
        <w:topLinePunct/>
        <w:autoSpaceDE/>
        <w:autoSpaceDN/>
        <w:bidi w:val="0"/>
        <w:adjustRightInd/>
        <w:snapToGrid/>
        <w:spacing w:line="560" w:lineRule="exact"/>
        <w:ind w:firstLine="643" w:firstLineChars="200"/>
        <w:jc w:val="left"/>
        <w:textAlignment w:val="auto"/>
        <w:rPr>
          <w:rFonts w:hint="eastAsia" w:ascii="仿宋_GB2312" w:hAnsi="仿宋_GB2312" w:eastAsia="仿宋_GB2312" w:cs="仿宋_GB2312"/>
          <w:kern w:val="21"/>
          <w:sz w:val="32"/>
          <w:szCs w:val="32"/>
        </w:rPr>
      </w:pPr>
      <w:bookmarkStart w:id="664" w:name="_Toc135246298"/>
      <w:bookmarkStart w:id="665" w:name="_Toc1586"/>
      <w:bookmarkStart w:id="666" w:name="_Toc10515"/>
      <w:bookmarkStart w:id="667" w:name="_Toc1988417993"/>
      <w:bookmarkStart w:id="668" w:name="_Toc6457"/>
      <w:r>
        <w:rPr>
          <w:rStyle w:val="46"/>
          <w:rFonts w:hint="eastAsia" w:ascii="仿宋_GB2312" w:hAnsi="仿宋_GB2312" w:eastAsia="仿宋_GB2312" w:cs="Times New Roman"/>
          <w:b/>
          <w:bCs/>
          <w:kern w:val="21"/>
          <w:sz w:val="32"/>
        </w:rPr>
        <w:t>提升</w:t>
      </w:r>
      <w:r>
        <w:rPr>
          <w:rStyle w:val="46"/>
          <w:rFonts w:ascii="仿宋_GB2312" w:hAnsi="仿宋_GB2312" w:eastAsia="仿宋_GB2312" w:cs="Times New Roman"/>
          <w:b/>
          <w:bCs/>
          <w:kern w:val="21"/>
          <w:sz w:val="32"/>
        </w:rPr>
        <w:t>社会工作</w:t>
      </w:r>
      <w:r>
        <w:rPr>
          <w:rStyle w:val="46"/>
          <w:rFonts w:hint="eastAsia" w:ascii="仿宋_GB2312" w:hAnsi="仿宋_GB2312" w:eastAsia="仿宋_GB2312" w:cs="Times New Roman"/>
          <w:b/>
          <w:bCs/>
          <w:kern w:val="21"/>
          <w:sz w:val="32"/>
        </w:rPr>
        <w:t>水平</w:t>
      </w:r>
      <w:bookmarkEnd w:id="664"/>
      <w:bookmarkEnd w:id="665"/>
      <w:bookmarkEnd w:id="666"/>
      <w:bookmarkEnd w:id="667"/>
      <w:bookmarkEnd w:id="668"/>
      <w:r>
        <w:rPr>
          <w:rFonts w:hint="eastAsia" w:ascii="仿宋_GB2312" w:hAnsi="仿宋_GB2312" w:eastAsia="仿宋_GB2312" w:cs="仿宋_GB2312"/>
          <w:b/>
          <w:bCs/>
          <w:kern w:val="21"/>
          <w:sz w:val="32"/>
        </w:rPr>
        <w:t>。</w:t>
      </w:r>
      <w:r>
        <w:rPr>
          <w:rFonts w:hint="eastAsia" w:ascii="仿宋_GB2312" w:hAnsi="仿宋_GB2312" w:eastAsia="仿宋_GB2312" w:cs="仿宋_GB2312"/>
          <w:kern w:val="21"/>
          <w:sz w:val="32"/>
          <w:szCs w:val="32"/>
        </w:rPr>
        <w:t>配优建强“</w:t>
      </w:r>
      <w:r>
        <w:rPr>
          <w:rFonts w:hint="eastAsia" w:ascii="仿宋_GB2312" w:hAnsi="仿宋_GB2312" w:eastAsia="仿宋_GB2312" w:cs="仿宋_GB2312"/>
          <w:kern w:val="21"/>
          <w:sz w:val="32"/>
          <w:szCs w:val="32"/>
          <w:lang w:val="en-US" w:eastAsia="zh-CN"/>
        </w:rPr>
        <w:t>3+3</w:t>
      </w:r>
      <w:r>
        <w:rPr>
          <w:rFonts w:hint="eastAsia" w:ascii="仿宋_GB2312" w:hAnsi="仿宋_GB2312" w:eastAsia="仿宋_GB2312" w:cs="仿宋_GB2312"/>
          <w:kern w:val="21"/>
          <w:sz w:val="32"/>
          <w:szCs w:val="32"/>
        </w:rPr>
        <w:t>”队伍，增强党建引领基层治理、矛盾纠纷调处化解、社会工作提质增效、困难群体关爱帮扶、数智技术赋能治理“五项能力”，发挥“两代表一委员”桥梁纽带作用，持续强化群防群治效能。优化暖“新”驿站建设，健全新就业群体服务管理体系，完善新就业群体利益诉求表达及风险研判机制。推进社区企业培育、“信托制”物业管理模式推广、社区服务设施升级等工作，建立群众诉求快速响应和闭环解决机制。深化“社</w:t>
      </w:r>
      <w:r>
        <w:rPr>
          <w:rFonts w:hint="eastAsia" w:ascii="仿宋_GB2312" w:hAnsi="仿宋_GB2312" w:eastAsia="仿宋_GB2312" w:cs="仿宋_GB2312"/>
          <w:kern w:val="21"/>
          <w:sz w:val="32"/>
          <w:szCs w:val="32"/>
          <w:lang w:val="en-US" w:eastAsia="zh-CN"/>
        </w:rPr>
        <w:t>志</w:t>
      </w:r>
      <w:r>
        <w:rPr>
          <w:rFonts w:hint="eastAsia" w:ascii="仿宋_GB2312" w:hAnsi="仿宋_GB2312" w:eastAsia="仿宋_GB2312" w:cs="仿宋_GB2312"/>
          <w:kern w:val="21"/>
          <w:sz w:val="32"/>
          <w:szCs w:val="32"/>
        </w:rPr>
        <w:t>融合”机制创新，构建社工人才全链条培育体系，引导社会力量常态化参与志愿服务，打响“志美鲈乡”志愿服务品牌。</w:t>
      </w:r>
    </w:p>
    <w:p w14:paraId="453E1F33">
      <w:pPr>
        <w:pStyle w:val="3"/>
        <w:keepNext w:val="0"/>
        <w:keepLines w:val="0"/>
        <w:pageBreakBefore w:val="0"/>
        <w:widowControl w:val="0"/>
        <w:kinsoku/>
        <w:wordWrap/>
        <w:overflowPunct w:val="0"/>
        <w:topLinePunct/>
        <w:autoSpaceDE/>
        <w:autoSpaceDN/>
        <w:bidi w:val="0"/>
        <w:adjustRightInd/>
        <w:spacing w:before="156" w:after="156" w:line="580" w:lineRule="exact"/>
        <w:jc w:val="center"/>
        <w:textAlignment w:val="auto"/>
        <w:rPr>
          <w:kern w:val="21"/>
        </w:rPr>
      </w:pPr>
      <w:bookmarkStart w:id="669" w:name="_Toc19443"/>
      <w:bookmarkStart w:id="670" w:name="_Toc774260405"/>
      <w:bookmarkStart w:id="671" w:name="_Toc237"/>
      <w:bookmarkStart w:id="672" w:name="_Toc9051"/>
      <w:bookmarkStart w:id="673" w:name="_Toc19094322"/>
      <w:bookmarkStart w:id="674" w:name="_Toc13549"/>
      <w:bookmarkStart w:id="675" w:name="_Toc1549939272"/>
      <w:bookmarkStart w:id="676" w:name="_Toc14073"/>
      <w:bookmarkStart w:id="677" w:name="_Toc26532"/>
      <w:bookmarkStart w:id="678" w:name="_Toc25404"/>
      <w:r>
        <w:rPr>
          <w:rFonts w:ascii="楷体_GB2312" w:hAnsi="楷体_GB2312" w:eastAsia="楷体_GB2312" w:cs="楷体_GB2312"/>
          <w:kern w:val="21"/>
        </w:rPr>
        <w:t xml:space="preserve">第二节 </w:t>
      </w:r>
      <w:r>
        <w:rPr>
          <w:rFonts w:hint="eastAsia" w:ascii="楷体_GB2312" w:hAnsi="楷体_GB2312" w:eastAsia="楷体_GB2312" w:cs="楷体_GB2312"/>
          <w:kern w:val="21"/>
          <w:lang w:val="en-US" w:eastAsia="zh-CN"/>
        </w:rPr>
        <w:t xml:space="preserve"> </w:t>
      </w:r>
      <w:r>
        <w:rPr>
          <w:rFonts w:ascii="楷体_GB2312" w:hAnsi="楷体_GB2312" w:eastAsia="楷体_GB2312" w:cs="楷体_GB2312"/>
          <w:kern w:val="21"/>
        </w:rPr>
        <w:t>建设安全韧性城市</w:t>
      </w:r>
      <w:bookmarkEnd w:id="669"/>
      <w:bookmarkEnd w:id="670"/>
      <w:bookmarkEnd w:id="671"/>
      <w:bookmarkEnd w:id="672"/>
      <w:bookmarkEnd w:id="673"/>
      <w:bookmarkEnd w:id="674"/>
      <w:bookmarkEnd w:id="675"/>
      <w:bookmarkEnd w:id="676"/>
      <w:bookmarkEnd w:id="677"/>
      <w:bookmarkEnd w:id="678"/>
    </w:p>
    <w:p w14:paraId="5080EB62">
      <w:pPr>
        <w:keepNext w:val="0"/>
        <w:keepLines w:val="0"/>
        <w:pageBreakBefore w:val="0"/>
        <w:widowControl w:val="0"/>
        <w:kinsoku/>
        <w:wordWrap/>
        <w:overflowPunct w:val="0"/>
        <w:topLinePunct/>
        <w:autoSpaceDE/>
        <w:autoSpaceDN/>
        <w:bidi w:val="0"/>
        <w:adjustRightInd/>
        <w:snapToGrid/>
        <w:spacing w:line="540" w:lineRule="exact"/>
        <w:ind w:firstLine="640" w:firstLineChars="200"/>
        <w:textAlignment w:val="auto"/>
        <w:rPr>
          <w:rFonts w:hint="eastAsia" w:ascii="仿宋_GB2312" w:hAnsi="仿宋_GB2312" w:eastAsia="仿宋_GB2312" w:cs="仿宋_GB2312"/>
          <w:kern w:val="21"/>
          <w:sz w:val="32"/>
        </w:rPr>
      </w:pPr>
      <w:r>
        <w:rPr>
          <w:rFonts w:hint="eastAsia" w:ascii="仿宋_GB2312" w:hAnsi="仿宋_GB2312" w:eastAsia="仿宋_GB2312" w:cs="仿宋_GB2312"/>
          <w:kern w:val="21"/>
          <w:sz w:val="32"/>
        </w:rPr>
        <w:t>更好统筹发展和安全，坚持人民至上、生命至上，抓实抓细防风险、保安全、护稳定各项工作，全面提高公共安全保障能力，不断增强人民群众安全感，努力实现高质量发展和高水平安全良性互动。</w:t>
      </w:r>
    </w:p>
    <w:p w14:paraId="6F66DD8A">
      <w:pPr>
        <w:keepNext w:val="0"/>
        <w:keepLines w:val="0"/>
        <w:pageBreakBefore w:val="0"/>
        <w:widowControl w:val="0"/>
        <w:kinsoku/>
        <w:wordWrap/>
        <w:overflowPunct w:val="0"/>
        <w:topLinePunct/>
        <w:autoSpaceDE/>
        <w:autoSpaceDN/>
        <w:bidi w:val="0"/>
        <w:adjustRightInd/>
        <w:snapToGrid/>
        <w:spacing w:line="540" w:lineRule="exact"/>
        <w:ind w:firstLine="643" w:firstLineChars="200"/>
        <w:textAlignment w:val="auto"/>
        <w:rPr>
          <w:rFonts w:hint="eastAsia" w:ascii="仿宋_GB2312" w:hAnsi="仿宋_GB2312" w:eastAsia="仿宋_GB2312" w:cs="仿宋_GB2312"/>
          <w:kern w:val="21"/>
          <w:sz w:val="32"/>
          <w:szCs w:val="32"/>
        </w:rPr>
      </w:pPr>
      <w:bookmarkStart w:id="679" w:name="_Toc17175"/>
      <w:bookmarkStart w:id="680" w:name="_Toc28040"/>
      <w:bookmarkStart w:id="681" w:name="_Toc1607512354"/>
      <w:bookmarkStart w:id="682" w:name="_Toc570538522"/>
      <w:bookmarkStart w:id="683" w:name="_Toc24964"/>
      <w:r>
        <w:rPr>
          <w:rStyle w:val="46"/>
          <w:rFonts w:hint="eastAsia" w:ascii="仿宋_GB2312" w:hAnsi="仿宋_GB2312" w:eastAsia="仿宋_GB2312" w:cs="Times New Roman"/>
          <w:b/>
          <w:bCs/>
          <w:kern w:val="21"/>
          <w:sz w:val="32"/>
          <w:lang w:eastAsia="zh-CN"/>
        </w:rPr>
        <w:t>深入践行总体国家安全观</w:t>
      </w:r>
      <w:bookmarkEnd w:id="679"/>
      <w:bookmarkEnd w:id="680"/>
      <w:r>
        <w:rPr>
          <w:rFonts w:hint="eastAsia" w:ascii="仿宋_GB2312" w:hAnsi="仿宋_GB2312" w:eastAsia="仿宋_GB2312" w:cs="仿宋_GB2312"/>
          <w:b/>
          <w:bCs/>
          <w:kern w:val="21"/>
          <w:sz w:val="32"/>
        </w:rPr>
        <w:t>。</w:t>
      </w:r>
      <w:r>
        <w:rPr>
          <w:rFonts w:hint="eastAsia" w:ascii="仿宋_GB2312" w:hAnsi="仿宋_GB2312" w:eastAsia="仿宋_GB2312" w:cs="仿宋_GB2312"/>
          <w:color w:val="auto"/>
          <w:sz w:val="32"/>
          <w:szCs w:val="32"/>
          <w:lang w:val="en-US" w:eastAsia="zh-CN"/>
        </w:rPr>
        <w:t>推进国家安全体系和能力现代化，加快构建新安全格局。</w:t>
      </w:r>
      <w:r>
        <w:rPr>
          <w:rFonts w:hint="eastAsia" w:ascii="仿宋_GB2312" w:hAnsi="仿宋_GB2312" w:eastAsia="仿宋_GB2312" w:cs="仿宋_GB2312"/>
          <w:kern w:val="21"/>
          <w:sz w:val="32"/>
          <w:szCs w:val="32"/>
        </w:rPr>
        <w:t>把捍卫政治安全摆在首位。确保水资源、粮食、能源资源、重要产业链供应链、重大基础设施安全，加强网络、数据、人工智能、生物、生态、低空等新兴领域安全能力</w:t>
      </w:r>
      <w:r>
        <w:rPr>
          <w:rFonts w:hint="eastAsia" w:ascii="仿宋_GB2312" w:hAnsi="仿宋_GB2312" w:eastAsia="仿宋_GB2312" w:cs="仿宋_GB2312"/>
          <w:kern w:val="21"/>
          <w:sz w:val="32"/>
          <w:szCs w:val="32"/>
          <w:lang w:eastAsia="zh-CN"/>
        </w:rPr>
        <w:t>，</w:t>
      </w:r>
      <w:r>
        <w:rPr>
          <w:rFonts w:hint="eastAsia" w:ascii="仿宋_GB2312" w:hAnsi="仿宋_GB2312" w:eastAsia="仿宋_GB2312" w:cs="仿宋_GB2312"/>
          <w:kern w:val="21"/>
          <w:sz w:val="32"/>
          <w:szCs w:val="32"/>
        </w:rPr>
        <w:t>提升防范应对各种“黑天鹅”“灰犀牛”事件能力。深入落实风险防控“四项机制”，提高防范化解重点领域风险能力，统筹推进房地产、地方政府债务、中小金融机构等风险有序化解，严防系统性风险。</w:t>
      </w:r>
      <w:r>
        <w:rPr>
          <w:rFonts w:hint="eastAsia" w:ascii="仿宋_GB2312" w:hAnsi="仿宋_GB2312" w:eastAsia="仿宋_GB2312" w:cs="仿宋_GB2312"/>
          <w:kern w:val="21"/>
          <w:sz w:val="32"/>
          <w:szCs w:val="32"/>
          <w:lang w:val="en-US" w:eastAsia="zh-CN"/>
        </w:rPr>
        <w:t>加强</w:t>
      </w:r>
      <w:r>
        <w:rPr>
          <w:rFonts w:hint="eastAsia" w:ascii="仿宋_GB2312" w:hAnsi="仿宋_GB2312" w:eastAsia="仿宋_GB2312" w:cs="仿宋_GB2312"/>
          <w:kern w:val="21"/>
          <w:sz w:val="32"/>
          <w:szCs w:val="32"/>
        </w:rPr>
        <w:t>国防动员能力</w:t>
      </w:r>
      <w:r>
        <w:rPr>
          <w:rFonts w:hint="eastAsia" w:ascii="仿宋_GB2312" w:hAnsi="仿宋_GB2312" w:eastAsia="仿宋_GB2312" w:cs="仿宋_GB2312"/>
          <w:kern w:val="21"/>
          <w:sz w:val="32"/>
          <w:szCs w:val="32"/>
          <w:lang w:val="en-US" w:eastAsia="zh-CN"/>
        </w:rPr>
        <w:t>和后备力量建设，强化国家安全教育和国防教育，巩固军政军民团结</w:t>
      </w:r>
      <w:r>
        <w:rPr>
          <w:rFonts w:hint="eastAsia" w:ascii="仿宋_GB2312" w:hAnsi="仿宋_GB2312" w:eastAsia="仿宋_GB2312" w:cs="仿宋_GB2312"/>
          <w:kern w:val="21"/>
          <w:sz w:val="32"/>
          <w:szCs w:val="32"/>
          <w:lang w:eastAsia="zh-CN"/>
        </w:rPr>
        <w:t>。</w:t>
      </w:r>
    </w:p>
    <w:p w14:paraId="24657772">
      <w:pPr>
        <w:keepNext w:val="0"/>
        <w:keepLines w:val="0"/>
        <w:pageBreakBefore w:val="0"/>
        <w:widowControl w:val="0"/>
        <w:kinsoku/>
        <w:wordWrap/>
        <w:overflowPunct w:val="0"/>
        <w:topLinePunct/>
        <w:autoSpaceDE/>
        <w:autoSpaceDN/>
        <w:bidi w:val="0"/>
        <w:adjustRightInd/>
        <w:snapToGrid/>
        <w:spacing w:line="540" w:lineRule="exact"/>
        <w:ind w:firstLine="643" w:firstLineChars="200"/>
        <w:textAlignment w:val="auto"/>
        <w:rPr>
          <w:rFonts w:hint="eastAsia" w:ascii="仿宋_GB2312" w:hAnsi="仿宋_GB2312" w:eastAsia="仿宋_GB2312" w:cs="仿宋_GB2312"/>
          <w:kern w:val="21"/>
          <w:sz w:val="32"/>
          <w:szCs w:val="32"/>
        </w:rPr>
      </w:pPr>
      <w:bookmarkStart w:id="684" w:name="_Toc26796"/>
      <w:bookmarkStart w:id="685" w:name="_Toc64"/>
      <w:r>
        <w:rPr>
          <w:rStyle w:val="46"/>
          <w:rFonts w:hint="eastAsia" w:ascii="仿宋_GB2312" w:hAnsi="仿宋_GB2312" w:eastAsia="仿宋_GB2312" w:cs="Times New Roman"/>
          <w:b/>
          <w:bCs/>
          <w:kern w:val="21"/>
          <w:sz w:val="32"/>
        </w:rPr>
        <w:t>强化安全生产监管</w:t>
      </w:r>
      <w:bookmarkEnd w:id="681"/>
      <w:bookmarkEnd w:id="682"/>
      <w:bookmarkEnd w:id="683"/>
      <w:bookmarkEnd w:id="684"/>
      <w:bookmarkEnd w:id="685"/>
      <w:r>
        <w:rPr>
          <w:rFonts w:hint="eastAsia" w:ascii="仿宋_GB2312" w:hAnsi="仿宋_GB2312" w:eastAsia="仿宋_GB2312" w:cs="仿宋_GB2312"/>
          <w:b/>
          <w:bCs/>
          <w:kern w:val="21"/>
          <w:sz w:val="32"/>
        </w:rPr>
        <w:t>。</w:t>
      </w:r>
      <w:r>
        <w:rPr>
          <w:rFonts w:hint="eastAsia" w:ascii="仿宋_GB2312" w:hAnsi="仿宋_GB2312" w:eastAsia="仿宋_GB2312" w:cs="仿宋_GB2312"/>
          <w:kern w:val="21"/>
          <w:sz w:val="32"/>
          <w:szCs w:val="32"/>
          <w:lang w:val="en-US" w:eastAsia="zh-CN"/>
        </w:rPr>
        <w:t>严格落实安全生产责任制</w:t>
      </w:r>
      <w:r>
        <w:rPr>
          <w:rFonts w:hint="eastAsia" w:ascii="仿宋_GB2312" w:hAnsi="仿宋_GB2312" w:eastAsia="仿宋_GB2312" w:cs="仿宋_GB2312"/>
          <w:kern w:val="21"/>
          <w:sz w:val="32"/>
          <w:szCs w:val="32"/>
        </w:rPr>
        <w:t>，深化网格化、专业化、数字化、全员化、实体化、手册化“六化”建设，实施重大安全风险源头管控、重大事故隐患动态清零等专项行动，完善安全生产治理体系，推进安全生产治理模式向事前预防转型。在建筑施工、城镇燃气、</w:t>
      </w:r>
      <w:r>
        <w:rPr>
          <w:rFonts w:hint="eastAsia" w:ascii="仿宋_GB2312" w:hAnsi="仿宋_GB2312" w:eastAsia="仿宋_GB2312" w:cs="仿宋_GB2312"/>
          <w:kern w:val="21"/>
          <w:sz w:val="32"/>
          <w:szCs w:val="32"/>
          <w:lang w:eastAsia="zh-CN"/>
        </w:rPr>
        <w:t>既有建筑、</w:t>
      </w:r>
      <w:r>
        <w:rPr>
          <w:rFonts w:hint="eastAsia" w:ascii="仿宋_GB2312" w:hAnsi="仿宋_GB2312" w:eastAsia="仿宋_GB2312" w:cs="仿宋_GB2312"/>
          <w:kern w:val="21"/>
          <w:sz w:val="32"/>
          <w:szCs w:val="32"/>
        </w:rPr>
        <w:t>危险化学品</w:t>
      </w:r>
      <w:r>
        <w:rPr>
          <w:rFonts w:hint="eastAsia" w:ascii="仿宋_GB2312" w:hAnsi="仿宋_GB2312" w:eastAsia="仿宋_GB2312" w:cs="仿宋_GB2312"/>
          <w:kern w:val="21"/>
          <w:sz w:val="32"/>
          <w:szCs w:val="32"/>
          <w:lang w:eastAsia="zh-CN"/>
        </w:rPr>
        <w:t>、</w:t>
      </w:r>
      <w:r>
        <w:rPr>
          <w:rFonts w:hint="eastAsia" w:ascii="仿宋_GB2312" w:hAnsi="仿宋_GB2312" w:eastAsia="仿宋_GB2312" w:cs="仿宋_GB2312"/>
          <w:kern w:val="21"/>
          <w:sz w:val="32"/>
          <w:szCs w:val="32"/>
        </w:rPr>
        <w:t>道路交通等</w:t>
      </w:r>
      <w:r>
        <w:rPr>
          <w:rFonts w:hint="eastAsia" w:ascii="仿宋_GB2312" w:hAnsi="仿宋_GB2312" w:eastAsia="仿宋_GB2312" w:cs="仿宋_GB2312"/>
          <w:kern w:val="21"/>
          <w:sz w:val="32"/>
          <w:szCs w:val="32"/>
          <w:lang w:eastAsia="zh-CN"/>
        </w:rPr>
        <w:t>重点</w:t>
      </w:r>
      <w:r>
        <w:rPr>
          <w:rFonts w:hint="eastAsia" w:ascii="仿宋_GB2312" w:hAnsi="仿宋_GB2312" w:eastAsia="仿宋_GB2312" w:cs="仿宋_GB2312"/>
          <w:kern w:val="21"/>
          <w:sz w:val="32"/>
          <w:szCs w:val="32"/>
        </w:rPr>
        <w:t>领域</w:t>
      </w:r>
      <w:r>
        <w:rPr>
          <w:rFonts w:hint="eastAsia" w:ascii="仿宋_GB2312" w:hAnsi="仿宋_GB2312" w:eastAsia="仿宋_GB2312" w:cs="仿宋_GB2312"/>
          <w:kern w:val="21"/>
          <w:sz w:val="32"/>
          <w:szCs w:val="32"/>
          <w:lang w:eastAsia="zh-CN"/>
        </w:rPr>
        <w:t>及重点场所</w:t>
      </w:r>
      <w:r>
        <w:rPr>
          <w:rFonts w:hint="eastAsia" w:ascii="仿宋_GB2312" w:hAnsi="仿宋_GB2312" w:eastAsia="仿宋_GB2312" w:cs="仿宋_GB2312"/>
          <w:kern w:val="21"/>
          <w:sz w:val="32"/>
          <w:szCs w:val="32"/>
        </w:rPr>
        <w:t>全面实施安全风险常态化、全链条排查整治，加强新兴行业领域安全风险防控，严格落实镇街（村、社区）、重点企业“双挂钩”制度，提升全社会安全意识，坚决防范遏制重特大事故，持续提升本质安全水平。</w:t>
      </w:r>
    </w:p>
    <w:p w14:paraId="481D06B0">
      <w:pPr>
        <w:keepNext w:val="0"/>
        <w:keepLines w:val="0"/>
        <w:pageBreakBefore w:val="0"/>
        <w:widowControl w:val="0"/>
        <w:kinsoku/>
        <w:wordWrap/>
        <w:overflowPunct w:val="0"/>
        <w:topLinePunct/>
        <w:autoSpaceDE/>
        <w:autoSpaceDN/>
        <w:bidi w:val="0"/>
        <w:adjustRightInd/>
        <w:snapToGrid/>
        <w:spacing w:line="540" w:lineRule="exact"/>
        <w:ind w:firstLine="643" w:firstLineChars="200"/>
        <w:textAlignment w:val="auto"/>
        <w:rPr>
          <w:rFonts w:hint="eastAsia" w:ascii="仿宋_GB2312" w:hAnsi="仿宋_GB2312" w:eastAsia="仿宋_GB2312" w:cs="仿宋_GB2312"/>
          <w:kern w:val="21"/>
          <w:sz w:val="32"/>
          <w:szCs w:val="32"/>
        </w:rPr>
      </w:pPr>
      <w:bookmarkStart w:id="686" w:name="_Toc27204"/>
      <w:bookmarkStart w:id="687" w:name="_Toc24431"/>
      <w:r>
        <w:rPr>
          <w:rStyle w:val="46"/>
          <w:rFonts w:hint="eastAsia" w:ascii="仿宋_GB2312" w:hAnsi="仿宋_GB2312" w:eastAsia="仿宋_GB2312" w:cs="Times New Roman"/>
          <w:b/>
          <w:bCs/>
          <w:kern w:val="21"/>
          <w:sz w:val="32"/>
          <w:szCs w:val="32"/>
          <w:lang w:eastAsia="zh-CN"/>
        </w:rPr>
        <w:t>强化社会治安防控</w:t>
      </w:r>
      <w:bookmarkEnd w:id="686"/>
      <w:bookmarkEnd w:id="687"/>
      <w:r>
        <w:rPr>
          <w:rFonts w:hint="eastAsia" w:ascii="仿宋_GB2312" w:hAnsi="仿宋_GB2312" w:eastAsia="仿宋_GB2312" w:cs="仿宋_GB2312"/>
          <w:b/>
          <w:bCs/>
          <w:kern w:val="21"/>
          <w:sz w:val="32"/>
          <w:szCs w:val="32"/>
        </w:rPr>
        <w:t>。</w:t>
      </w:r>
      <w:r>
        <w:rPr>
          <w:rFonts w:hint="eastAsia" w:ascii="仿宋_GB2312" w:hAnsi="仿宋_GB2312" w:eastAsia="仿宋_GB2312" w:cs="仿宋_GB2312"/>
          <w:kern w:val="21"/>
          <w:sz w:val="32"/>
          <w:szCs w:val="32"/>
        </w:rPr>
        <w:t>健全平安建设及扫黑除恶斗争协调机制，推动矛盾风险全量汇聚、标准流程处置，提升社会治安风险整体防控水平。优化“平安指数”监测评估体系，深化运用“一站式”分级解纷工作法，加强综治中心规范化建设</w:t>
      </w:r>
      <w:r>
        <w:rPr>
          <w:rFonts w:hint="eastAsia" w:ascii="仿宋_GB2312" w:hAnsi="仿宋_GB2312" w:eastAsia="仿宋_GB2312" w:cs="仿宋_GB2312"/>
          <w:kern w:val="21"/>
          <w:sz w:val="32"/>
          <w:szCs w:val="32"/>
          <w:lang w:eastAsia="zh-CN"/>
        </w:rPr>
        <w:t>。</w:t>
      </w:r>
      <w:r>
        <w:rPr>
          <w:rFonts w:hint="eastAsia" w:eastAsia="仿宋_GB2312"/>
          <w:b w:val="0"/>
          <w:snapToGrid w:val="0"/>
          <w:spacing w:val="0"/>
          <w:sz w:val="32"/>
          <w:szCs w:val="32"/>
        </w:rPr>
        <w:t>畅通和规范</w:t>
      </w:r>
      <w:r>
        <w:rPr>
          <w:rFonts w:hint="eastAsia" w:ascii="仿宋_GB2312" w:hAnsi="仿宋_GB2312" w:eastAsia="仿宋_GB2312" w:cs="仿宋_GB2312"/>
          <w:spacing w:val="0"/>
          <w:sz w:val="32"/>
          <w:szCs w:val="32"/>
          <w:lang w:val="en-US" w:eastAsia="zh-CN"/>
        </w:rPr>
        <w:t>“民呼我为”等</w:t>
      </w:r>
      <w:r>
        <w:rPr>
          <w:rFonts w:hint="eastAsia" w:eastAsia="仿宋_GB2312"/>
          <w:b w:val="0"/>
          <w:snapToGrid w:val="0"/>
          <w:spacing w:val="0"/>
          <w:sz w:val="32"/>
          <w:szCs w:val="32"/>
        </w:rPr>
        <w:t>群众诉求表达、利益协调、权益保障通道</w:t>
      </w:r>
      <w:r>
        <w:rPr>
          <w:rFonts w:hint="eastAsia" w:eastAsia="仿宋_GB2312"/>
          <w:b w:val="0"/>
          <w:snapToGrid w:val="0"/>
          <w:spacing w:val="0"/>
          <w:sz w:val="32"/>
          <w:szCs w:val="32"/>
          <w:lang w:eastAsia="zh-CN"/>
        </w:rPr>
        <w:t>，深入推动</w:t>
      </w:r>
      <w:r>
        <w:rPr>
          <w:rFonts w:hint="eastAsia" w:ascii="仿宋_GB2312" w:hAnsi="仿宋_GB2312" w:eastAsia="仿宋_GB2312" w:cs="仿宋_GB2312"/>
          <w:color w:val="auto"/>
          <w:spacing w:val="0"/>
          <w:kern w:val="0"/>
          <w:sz w:val="32"/>
          <w:szCs w:val="32"/>
          <w:lang w:val="en-US" w:eastAsia="zh-CN" w:bidi="ar-SA"/>
        </w:rPr>
        <w:t>信访积案化解</w:t>
      </w:r>
      <w:r>
        <w:rPr>
          <w:rFonts w:hint="eastAsia" w:ascii="仿宋_GB2312" w:hAnsi="仿宋_GB2312" w:eastAsia="仿宋_GB2312" w:cs="仿宋_GB2312"/>
          <w:kern w:val="21"/>
          <w:sz w:val="32"/>
          <w:szCs w:val="32"/>
          <w:lang w:eastAsia="zh-CN"/>
        </w:rPr>
        <w:t>。</w:t>
      </w:r>
      <w:r>
        <w:rPr>
          <w:rFonts w:hint="eastAsia" w:ascii="仿宋_GB2312" w:hAnsi="仿宋_GB2312" w:eastAsia="仿宋_GB2312" w:cs="仿宋_GB2312"/>
          <w:spacing w:val="0"/>
          <w:sz w:val="32"/>
          <w:szCs w:val="32"/>
          <w:lang w:val="en-US" w:eastAsia="zh-CN"/>
        </w:rPr>
        <w:t>强化社会面治安防控、重点部位防护、大型活动组织管理，严防个人极端案事件和群体性事件。</w:t>
      </w:r>
      <w:r>
        <w:rPr>
          <w:rFonts w:hint="eastAsia" w:ascii="仿宋_GB2312" w:hAnsi="仿宋_GB2312" w:eastAsia="仿宋_GB2312" w:cs="仿宋_GB2312"/>
          <w:kern w:val="21"/>
          <w:sz w:val="32"/>
          <w:szCs w:val="32"/>
        </w:rPr>
        <w:t>推动“数智公安”全面升级，严厉打击人民群众反映强烈的突出违法犯罪，精准防范和压降各类违法犯罪活动，确保全区社会大局平安稳定</w:t>
      </w:r>
      <w:r>
        <w:rPr>
          <w:rFonts w:hint="eastAsia" w:ascii="仿宋_GB2312" w:hAnsi="仿宋_GB2312" w:eastAsia="仿宋_GB2312" w:cs="仿宋_GB2312"/>
          <w:kern w:val="21"/>
          <w:sz w:val="32"/>
          <w:szCs w:val="32"/>
          <w:lang w:eastAsia="zh-CN"/>
        </w:rPr>
        <w:t>。</w:t>
      </w:r>
      <w:r>
        <w:rPr>
          <w:rFonts w:hint="eastAsia" w:ascii="仿宋_GB2312" w:hAnsi="仿宋_GB2312" w:eastAsia="仿宋_GB2312" w:cs="仿宋_GB2312"/>
          <w:kern w:val="21"/>
          <w:sz w:val="32"/>
          <w:szCs w:val="32"/>
        </w:rPr>
        <w:t>深化破案攻坚、打财断血、打伞破网、协同治理等各项重点工作，全力筑牢反诈防线</w:t>
      </w:r>
      <w:r>
        <w:rPr>
          <w:rFonts w:hint="eastAsia" w:ascii="仿宋_GB2312" w:hAnsi="仿宋_GB2312" w:eastAsia="仿宋_GB2312" w:cs="仿宋_GB2312"/>
          <w:kern w:val="21"/>
          <w:sz w:val="32"/>
          <w:szCs w:val="32"/>
          <w:lang w:eastAsia="zh-CN"/>
        </w:rPr>
        <w:t>，</w:t>
      </w:r>
      <w:r>
        <w:rPr>
          <w:rFonts w:hint="eastAsia" w:ascii="仿宋_GB2312" w:hAnsi="仿宋_GB2312" w:eastAsia="仿宋_GB2312" w:cs="仿宋_GB2312"/>
          <w:kern w:val="21"/>
          <w:sz w:val="32"/>
          <w:szCs w:val="32"/>
        </w:rPr>
        <w:t>不断增强人民群众安全感。</w:t>
      </w:r>
    </w:p>
    <w:p w14:paraId="00C37CC8">
      <w:pPr>
        <w:keepNext w:val="0"/>
        <w:keepLines w:val="0"/>
        <w:pageBreakBefore w:val="0"/>
        <w:widowControl w:val="0"/>
        <w:kinsoku/>
        <w:wordWrap/>
        <w:overflowPunct w:val="0"/>
        <w:topLinePunct/>
        <w:autoSpaceDE/>
        <w:autoSpaceDN/>
        <w:bidi w:val="0"/>
        <w:adjustRightInd/>
        <w:snapToGrid/>
        <w:spacing w:line="540" w:lineRule="exact"/>
        <w:ind w:firstLine="643" w:firstLineChars="200"/>
        <w:textAlignment w:val="auto"/>
        <w:rPr>
          <w:kern w:val="21"/>
        </w:rPr>
      </w:pPr>
      <w:bookmarkStart w:id="688" w:name="_Toc2141416604"/>
      <w:bookmarkStart w:id="689" w:name="_Toc19559"/>
      <w:bookmarkStart w:id="690" w:name="_Toc14154"/>
      <w:bookmarkStart w:id="691" w:name="_Toc9623"/>
      <w:bookmarkStart w:id="692" w:name="_Toc1454150492"/>
      <w:r>
        <w:rPr>
          <w:rStyle w:val="46"/>
          <w:rFonts w:hint="eastAsia" w:ascii="仿宋_GB2312" w:hAnsi="仿宋_GB2312" w:eastAsia="仿宋_GB2312" w:cs="Times New Roman"/>
          <w:b/>
          <w:bCs/>
          <w:kern w:val="21"/>
          <w:sz w:val="32"/>
        </w:rPr>
        <w:t>完善应急防控体系</w:t>
      </w:r>
      <w:bookmarkEnd w:id="688"/>
      <w:bookmarkEnd w:id="689"/>
      <w:bookmarkEnd w:id="690"/>
      <w:bookmarkEnd w:id="691"/>
      <w:bookmarkEnd w:id="692"/>
      <w:r>
        <w:rPr>
          <w:rFonts w:hint="eastAsia" w:ascii="仿宋_GB2312" w:hAnsi="仿宋_GB2312" w:eastAsia="仿宋_GB2312" w:cs="仿宋_GB2312"/>
          <w:b/>
          <w:bCs/>
          <w:kern w:val="21"/>
          <w:sz w:val="32"/>
        </w:rPr>
        <w:t>。</w:t>
      </w:r>
      <w:r>
        <w:rPr>
          <w:rFonts w:hint="eastAsia" w:ascii="仿宋_GB2312" w:hAnsi="仿宋_GB2312" w:eastAsia="仿宋_GB2312" w:cs="仿宋_GB2312"/>
          <w:kern w:val="21"/>
          <w:sz w:val="32"/>
          <w:szCs w:val="32"/>
        </w:rPr>
        <w:t>完善大安全大应急框架下应急指挥机制，强化应急预案、应急物资、应急队伍“三项准备”。强化城市生命线工程的安全监测和防护，加强城市应急避难场所、人防工程和“平急两用”设施布局建设，提升城市防护效能和城乡防灾减灾救灾能力。健全重大突发公共事件处置保障体系，完善自然灾害综合监测预警体系，织密“5分钟消防救援圈”，健全临灾预警“叫应”、灾后救助和恢复重建机制，提升极端条件下的“全灾种”综合救援能力，最大限度降低灾害事故损失。深化人工智能在应急管理的应用，强化全要素风险综合监测预警、智能态势分析、闭环动态管控，推动实现“机械化换人、自动化减人、智能化无人”。加强应急安全宣传教育，营造“人人讲安全、个个会应急”的社会氛围。</w:t>
      </w:r>
    </w:p>
    <w:p w14:paraId="1793AA7C">
      <w:pPr>
        <w:keepNext w:val="0"/>
        <w:keepLines w:val="0"/>
        <w:pageBreakBefore w:val="0"/>
        <w:kinsoku/>
        <w:wordWrap/>
        <w:overflowPunct w:val="0"/>
        <w:topLinePunct/>
        <w:autoSpaceDE/>
        <w:autoSpaceDN/>
        <w:bidi w:val="0"/>
        <w:adjustRightInd/>
        <w:spacing w:line="560" w:lineRule="exact"/>
        <w:textAlignment w:val="auto"/>
        <w:rPr>
          <w:rFonts w:ascii="Times New Roman" w:hAnsi="Times New Roman" w:eastAsia="黑体" w:cs="Times New Roman"/>
          <w:b/>
          <w:bCs/>
          <w:kern w:val="21"/>
          <w:sz w:val="32"/>
          <w:szCs w:val="32"/>
        </w:rPr>
      </w:pPr>
      <w:r>
        <w:rPr>
          <w:rFonts w:ascii="Times New Roman" w:hAnsi="Times New Roman" w:eastAsia="黑体" w:cs="Times New Roman"/>
          <w:b/>
          <w:bCs/>
          <w:kern w:val="21"/>
          <w:sz w:val="32"/>
          <w:szCs w:val="32"/>
        </w:rPr>
        <w:br w:type="page"/>
      </w:r>
    </w:p>
    <w:p w14:paraId="34EF2406">
      <w:pPr>
        <w:pStyle w:val="2"/>
        <w:keepNext w:val="0"/>
        <w:keepLines w:val="0"/>
        <w:pageBreakBefore w:val="0"/>
        <w:numPr>
          <w:ilvl w:val="255"/>
          <w:numId w:val="0"/>
        </w:numPr>
        <w:kinsoku/>
        <w:wordWrap/>
        <w:overflowPunct w:val="0"/>
        <w:topLinePunct/>
        <w:autoSpaceDE/>
        <w:autoSpaceDN/>
        <w:bidi w:val="0"/>
        <w:adjustRightInd/>
        <w:spacing w:line="546" w:lineRule="exact"/>
        <w:textAlignment w:val="auto"/>
        <w:rPr>
          <w:kern w:val="21"/>
        </w:rPr>
      </w:pPr>
      <w:bookmarkStart w:id="693" w:name="_Toc3971"/>
      <w:bookmarkStart w:id="694" w:name="_Toc1962"/>
      <w:bookmarkStart w:id="695" w:name="_Toc400654291"/>
      <w:bookmarkStart w:id="696" w:name="_Toc32147"/>
      <w:bookmarkStart w:id="697" w:name="_Toc1010423979"/>
      <w:bookmarkStart w:id="698" w:name="_Toc24993"/>
      <w:bookmarkStart w:id="699" w:name="_Toc23859"/>
      <w:bookmarkStart w:id="700" w:name="_Toc2417"/>
      <w:bookmarkStart w:id="701" w:name="_Toc30571"/>
      <w:bookmarkStart w:id="702" w:name="_Toc934108068"/>
      <w:r>
        <w:rPr>
          <w:rFonts w:hint="eastAsia"/>
          <w:kern w:val="21"/>
        </w:rPr>
        <w:t>第十</w:t>
      </w:r>
      <w:r>
        <w:rPr>
          <w:rFonts w:hint="eastAsia"/>
          <w:kern w:val="21"/>
          <w:lang w:eastAsia="zh-CN"/>
        </w:rPr>
        <w:t>四</w:t>
      </w:r>
      <w:r>
        <w:rPr>
          <w:rFonts w:hint="eastAsia"/>
          <w:kern w:val="21"/>
        </w:rPr>
        <w:t xml:space="preserve">章  </w:t>
      </w:r>
      <w:bookmarkEnd w:id="693"/>
      <w:bookmarkEnd w:id="694"/>
      <w:bookmarkEnd w:id="695"/>
      <w:bookmarkEnd w:id="696"/>
      <w:bookmarkEnd w:id="697"/>
      <w:bookmarkEnd w:id="698"/>
      <w:bookmarkStart w:id="703" w:name="_Toc2611"/>
      <w:bookmarkStart w:id="704" w:name="_Toc32364"/>
      <w:bookmarkStart w:id="705" w:name="_Toc189394247"/>
      <w:bookmarkStart w:id="706" w:name="_Toc1011686876"/>
      <w:bookmarkStart w:id="707" w:name="_Toc20909"/>
      <w:bookmarkStart w:id="708" w:name="_Toc4788"/>
      <w:r>
        <w:rPr>
          <w:rFonts w:hint="eastAsia"/>
          <w:kern w:val="21"/>
        </w:rPr>
        <w:t>汇聚奋进合力</w:t>
      </w:r>
      <w:r>
        <w:rPr>
          <w:rFonts w:hint="eastAsia"/>
          <w:kern w:val="21"/>
          <w:lang w:val="en-US" w:eastAsia="zh-CN"/>
        </w:rPr>
        <w:t>，</w:t>
      </w:r>
      <w:r>
        <w:rPr>
          <w:rFonts w:hint="eastAsia"/>
          <w:kern w:val="21"/>
        </w:rPr>
        <w:t>推动美好蓝图变为现实图景</w:t>
      </w:r>
      <w:bookmarkEnd w:id="699"/>
      <w:bookmarkEnd w:id="700"/>
      <w:bookmarkEnd w:id="701"/>
      <w:bookmarkEnd w:id="702"/>
      <w:bookmarkEnd w:id="703"/>
      <w:bookmarkEnd w:id="704"/>
      <w:bookmarkEnd w:id="705"/>
      <w:bookmarkEnd w:id="706"/>
      <w:bookmarkEnd w:id="707"/>
      <w:bookmarkEnd w:id="708"/>
    </w:p>
    <w:p w14:paraId="464734F6">
      <w:pPr>
        <w:keepNext w:val="0"/>
        <w:keepLines w:val="0"/>
        <w:pageBreakBefore w:val="0"/>
        <w:kinsoku/>
        <w:wordWrap/>
        <w:overflowPunct w:val="0"/>
        <w:topLinePunct/>
        <w:autoSpaceDE/>
        <w:autoSpaceDN/>
        <w:bidi w:val="0"/>
        <w:adjustRightInd/>
        <w:spacing w:line="546" w:lineRule="exact"/>
        <w:textAlignment w:val="auto"/>
        <w:rPr>
          <w:kern w:val="21"/>
        </w:rPr>
      </w:pPr>
    </w:p>
    <w:p w14:paraId="33CCD166">
      <w:pPr>
        <w:keepNext w:val="0"/>
        <w:keepLines w:val="0"/>
        <w:pageBreakBefore w:val="0"/>
        <w:widowControl w:val="0"/>
        <w:kinsoku/>
        <w:wordWrap/>
        <w:overflowPunct w:val="0"/>
        <w:topLinePunct/>
        <w:autoSpaceDE/>
        <w:autoSpaceDN/>
        <w:bidi w:val="0"/>
        <w:adjustRightInd/>
        <w:spacing w:line="520" w:lineRule="exact"/>
        <w:ind w:firstLine="640" w:firstLineChars="200"/>
        <w:jc w:val="both"/>
        <w:textAlignment w:val="auto"/>
        <w:rPr>
          <w:rFonts w:ascii="Times New Roman" w:hAnsi="Times New Roman" w:eastAsia="仿宋_GB2312" w:cs="Times New Roman"/>
          <w:kern w:val="21"/>
          <w:sz w:val="32"/>
          <w:szCs w:val="32"/>
        </w:rPr>
      </w:pPr>
      <w:bookmarkStart w:id="709" w:name="_Toc1868664161"/>
      <w:r>
        <w:rPr>
          <w:rFonts w:hint="eastAsia" w:ascii="仿宋_GB2312" w:hAnsi="仿宋_GB2312" w:eastAsia="仿宋_GB2312" w:cs="仿宋_GB2312"/>
          <w:kern w:val="21"/>
          <w:sz w:val="32"/>
          <w:szCs w:val="32"/>
        </w:rPr>
        <w:t>坚持和加强党的全面领导，完善科学高效的统一规划体系，发挥“十五五”规划对全区经济社会发展的战略引领作用，广泛凝聚社会各方力量，切实加强规划实施保障，确保规划主要目标和重大任务顺利实现。</w:t>
      </w:r>
    </w:p>
    <w:p w14:paraId="13B436D7">
      <w:pPr>
        <w:pStyle w:val="3"/>
        <w:keepNext w:val="0"/>
        <w:keepLines w:val="0"/>
        <w:pageBreakBefore w:val="0"/>
        <w:widowControl w:val="0"/>
        <w:kinsoku/>
        <w:wordWrap/>
        <w:overflowPunct w:val="0"/>
        <w:topLinePunct/>
        <w:autoSpaceDE/>
        <w:autoSpaceDN/>
        <w:bidi w:val="0"/>
        <w:adjustRightInd/>
        <w:spacing w:before="156" w:after="156" w:line="520" w:lineRule="exact"/>
        <w:jc w:val="center"/>
        <w:textAlignment w:val="auto"/>
        <w:rPr>
          <w:rFonts w:ascii="楷体_GB2312" w:hAnsi="楷体_GB2312" w:eastAsia="楷体_GB2312" w:cs="楷体_GB2312"/>
          <w:kern w:val="21"/>
        </w:rPr>
      </w:pPr>
      <w:bookmarkStart w:id="710" w:name="_Toc87381223"/>
      <w:bookmarkStart w:id="711" w:name="_Toc4997"/>
      <w:bookmarkStart w:id="712" w:name="_Toc12169"/>
      <w:bookmarkStart w:id="713" w:name="_Toc7278"/>
      <w:bookmarkStart w:id="714" w:name="_Toc8078"/>
      <w:bookmarkStart w:id="715" w:name="_Toc31229"/>
      <w:bookmarkStart w:id="716" w:name="_Toc29451"/>
      <w:bookmarkStart w:id="717" w:name="_Toc1963437044"/>
      <w:bookmarkStart w:id="718" w:name="_Toc20200"/>
      <w:r>
        <w:rPr>
          <w:rFonts w:ascii="楷体_GB2312" w:hAnsi="楷体_GB2312" w:eastAsia="楷体_GB2312" w:cs="楷体_GB2312"/>
          <w:kern w:val="21"/>
        </w:rPr>
        <w:t xml:space="preserve">第一节 </w:t>
      </w:r>
      <w:bookmarkEnd w:id="709"/>
      <w:r>
        <w:rPr>
          <w:rFonts w:hint="eastAsia" w:ascii="楷体_GB2312" w:hAnsi="楷体_GB2312" w:eastAsia="楷体_GB2312" w:cs="楷体_GB2312"/>
          <w:kern w:val="21"/>
          <w:lang w:val="en-US" w:eastAsia="zh-CN"/>
        </w:rPr>
        <w:t xml:space="preserve"> </w:t>
      </w:r>
      <w:r>
        <w:rPr>
          <w:rFonts w:ascii="楷体_GB2312" w:hAnsi="楷体_GB2312" w:eastAsia="楷体_GB2312" w:cs="楷体_GB2312"/>
          <w:kern w:val="21"/>
        </w:rPr>
        <w:t>坚持和加强党的全面领导</w:t>
      </w:r>
      <w:bookmarkEnd w:id="710"/>
      <w:bookmarkEnd w:id="711"/>
      <w:bookmarkEnd w:id="712"/>
      <w:bookmarkEnd w:id="713"/>
      <w:bookmarkEnd w:id="714"/>
      <w:bookmarkEnd w:id="715"/>
      <w:bookmarkEnd w:id="716"/>
      <w:bookmarkEnd w:id="717"/>
      <w:bookmarkEnd w:id="718"/>
    </w:p>
    <w:p w14:paraId="2ACF05CA">
      <w:pPr>
        <w:pStyle w:val="21"/>
        <w:keepNext w:val="0"/>
        <w:keepLines w:val="0"/>
        <w:pageBreakBefore w:val="0"/>
        <w:widowControl w:val="0"/>
        <w:kinsoku/>
        <w:wordWrap/>
        <w:overflowPunct w:val="0"/>
        <w:topLinePunct/>
        <w:autoSpaceDE/>
        <w:autoSpaceDN/>
        <w:bidi w:val="0"/>
        <w:adjustRightInd/>
        <w:spacing w:line="520" w:lineRule="exact"/>
        <w:ind w:firstLine="640"/>
        <w:jc w:val="both"/>
        <w:textAlignment w:val="auto"/>
        <w:rPr>
          <w:rFonts w:ascii="Times New Roman" w:hAnsi="Times New Roman" w:eastAsia="仿宋_GB2312"/>
          <w:kern w:val="21"/>
          <w:sz w:val="32"/>
          <w:szCs w:val="32"/>
        </w:rPr>
      </w:pPr>
      <w:r>
        <w:rPr>
          <w:rFonts w:hint="eastAsia" w:ascii="Times New Roman" w:hAnsi="Times New Roman" w:eastAsia="仿宋_GB2312"/>
          <w:kern w:val="21"/>
          <w:sz w:val="32"/>
          <w:szCs w:val="32"/>
        </w:rPr>
        <w:t>坚决维护党中央权威和集中统一领导，深刻领悟“两个确立”的决定性意义，增强“四个意识”、坚定“四个自信”、做到“两个维护”，加强党对社会主义现代化建设的全面领导。持续用党的创新理论统一思想、统一意志、统一行动。发展党内民主，健全和落实民主集中制，坚持科学决策、民主决策、依法决策。把党的领导贯穿“十五五”规划组织实施各领域全过程，保障中央大政方针和省委、市委、区委决策部署落地见效。坚持严的基调不动摇，</w:t>
      </w:r>
      <w:r>
        <w:rPr>
          <w:rFonts w:hint="eastAsia" w:ascii="Times New Roman" w:hAnsi="Times New Roman" w:eastAsia="仿宋_GB2312"/>
          <w:kern w:val="21"/>
          <w:sz w:val="32"/>
          <w:szCs w:val="32"/>
          <w:lang w:val="en-US" w:eastAsia="zh-CN"/>
        </w:rPr>
        <w:t>树立和践行正确政绩观</w:t>
      </w:r>
      <w:r>
        <w:rPr>
          <w:rFonts w:hint="eastAsia" w:ascii="Times New Roman" w:hAnsi="Times New Roman" w:eastAsia="仿宋_GB2312"/>
          <w:kern w:val="21"/>
          <w:sz w:val="32"/>
          <w:szCs w:val="32"/>
        </w:rPr>
        <w:t>。完善监督体系建设，强化政治监督、深化政治巡察、做实日常监督，推动各类监督贯通协调，加强对权力配置、运行的规范和监督，强化对“一把手”和领导班子监督。锲而不舍落实中央八项规定精神，推进作风建设常态化、长效化，一体推进不敢腐、不能腐、不想腐，持续推进廉洁吴江建设。健全完善党的组织体系，不断增强党组织政治功能与组织功能，充分发挥各级党组织和党员的作用，严管厚爱结合、激励约束并重，激发干部队伍内生动力和整体活力，提高干部队伍现代化建设本领，进一步增强凝聚力和执行力，</w:t>
      </w:r>
      <w:r>
        <w:rPr>
          <w:rFonts w:hint="eastAsia" w:ascii="Times New Roman" w:hAnsi="Times New Roman" w:eastAsia="仿宋_GB2312"/>
          <w:kern w:val="21"/>
          <w:sz w:val="32"/>
          <w:szCs w:val="32"/>
          <w:lang w:val="en-US" w:eastAsia="zh-CN"/>
        </w:rPr>
        <w:t>激励广大党员在现代化建设中发挥先锋模范作用</w:t>
      </w:r>
      <w:r>
        <w:rPr>
          <w:rFonts w:hint="eastAsia" w:ascii="Times New Roman" w:hAnsi="Times New Roman" w:eastAsia="仿宋_GB2312"/>
          <w:kern w:val="21"/>
          <w:sz w:val="32"/>
          <w:szCs w:val="32"/>
        </w:rPr>
        <w:t>。</w:t>
      </w:r>
    </w:p>
    <w:p w14:paraId="64B0442C">
      <w:pPr>
        <w:pStyle w:val="3"/>
        <w:keepNext w:val="0"/>
        <w:keepLines w:val="0"/>
        <w:pageBreakBefore w:val="0"/>
        <w:kinsoku/>
        <w:wordWrap/>
        <w:overflowPunct w:val="0"/>
        <w:topLinePunct/>
        <w:autoSpaceDE/>
        <w:autoSpaceDN/>
        <w:bidi w:val="0"/>
        <w:adjustRightInd/>
        <w:spacing w:before="156" w:after="156" w:line="546" w:lineRule="exact"/>
        <w:textAlignment w:val="auto"/>
        <w:rPr>
          <w:kern w:val="21"/>
        </w:rPr>
      </w:pPr>
      <w:bookmarkStart w:id="719" w:name="_Toc965168434"/>
      <w:bookmarkStart w:id="720" w:name="_Toc2315"/>
      <w:bookmarkStart w:id="721" w:name="_Toc2011796451"/>
      <w:bookmarkStart w:id="722" w:name="_Toc17507"/>
      <w:bookmarkStart w:id="723" w:name="_Toc21820"/>
      <w:bookmarkStart w:id="724" w:name="_Toc4960"/>
      <w:bookmarkStart w:id="725" w:name="_Toc7709"/>
      <w:bookmarkStart w:id="726" w:name="_Toc14652"/>
      <w:bookmarkStart w:id="727" w:name="_Toc1333065564"/>
      <w:bookmarkStart w:id="728" w:name="_Toc29503"/>
      <w:r>
        <w:rPr>
          <w:rFonts w:ascii="楷体_GB2312" w:hAnsi="楷体_GB2312" w:eastAsia="楷体_GB2312" w:cs="楷体_GB2312"/>
          <w:kern w:val="21"/>
        </w:rPr>
        <w:t xml:space="preserve">第二节 </w:t>
      </w:r>
      <w:r>
        <w:rPr>
          <w:rFonts w:hint="eastAsia" w:ascii="楷体_GB2312" w:hAnsi="楷体_GB2312" w:eastAsia="楷体_GB2312" w:cs="楷体_GB2312"/>
          <w:kern w:val="21"/>
          <w:lang w:val="en-US" w:eastAsia="zh-CN"/>
        </w:rPr>
        <w:t xml:space="preserve"> </w:t>
      </w:r>
      <w:r>
        <w:rPr>
          <w:rFonts w:ascii="楷体_GB2312" w:hAnsi="楷体_GB2312" w:eastAsia="楷体_GB2312" w:cs="楷体_GB2312"/>
          <w:kern w:val="21"/>
        </w:rPr>
        <w:t>广泛凝聚社会力量</w:t>
      </w:r>
      <w:bookmarkEnd w:id="719"/>
      <w:bookmarkEnd w:id="720"/>
      <w:bookmarkEnd w:id="721"/>
      <w:bookmarkEnd w:id="722"/>
      <w:bookmarkEnd w:id="723"/>
      <w:bookmarkEnd w:id="724"/>
      <w:bookmarkEnd w:id="725"/>
      <w:bookmarkEnd w:id="726"/>
      <w:bookmarkEnd w:id="727"/>
      <w:bookmarkEnd w:id="728"/>
    </w:p>
    <w:p w14:paraId="5A391667">
      <w:pPr>
        <w:keepNext w:val="0"/>
        <w:keepLines w:val="0"/>
        <w:pageBreakBefore w:val="0"/>
        <w:kinsoku/>
        <w:wordWrap/>
        <w:overflowPunct w:val="0"/>
        <w:topLinePunct/>
        <w:autoSpaceDE/>
        <w:autoSpaceDN/>
        <w:bidi w:val="0"/>
        <w:adjustRightInd/>
        <w:spacing w:line="546" w:lineRule="exact"/>
        <w:ind w:firstLine="640" w:firstLineChars="200"/>
        <w:textAlignment w:val="auto"/>
        <w:rPr>
          <w:rFonts w:ascii="Times New Roman" w:hAnsi="Times New Roman" w:eastAsia="仿宋_GB2312" w:cs="Times New Roman"/>
          <w:kern w:val="21"/>
          <w:sz w:val="32"/>
          <w:szCs w:val="32"/>
        </w:rPr>
      </w:pPr>
      <w:r>
        <w:rPr>
          <w:rFonts w:hint="eastAsia" w:ascii="Times New Roman" w:hAnsi="Times New Roman" w:eastAsia="仿宋_GB2312" w:cs="Times New Roman"/>
          <w:kern w:val="21"/>
          <w:sz w:val="32"/>
          <w:szCs w:val="32"/>
          <w:lang w:val="en-US" w:eastAsia="zh-CN"/>
        </w:rPr>
        <w:t>深入践行全过程人民民主，</w:t>
      </w:r>
      <w:r>
        <w:rPr>
          <w:rFonts w:hint="eastAsia" w:ascii="Times New Roman" w:hAnsi="Times New Roman" w:eastAsia="仿宋_GB2312" w:cs="Times New Roman"/>
          <w:kern w:val="21"/>
          <w:sz w:val="32"/>
          <w:szCs w:val="32"/>
        </w:rPr>
        <w:t>坚持和完善人民代表大会制度、党领导的多党合作和政治协商制度，巩固和发展最广泛的爱国统一战线，持续巩固民族团结、宗教和顺、社会和谐的良好局面。发挥工会、共青团、妇联等群团组织作用，加强产业工人队伍建设、青少年发展、妇女儿童事业发展，激发各自联系群众的主人翁精神。贯彻尊重劳动、尊重知识、尊重人才、尊重创造的方针，鼓励</w:t>
      </w:r>
      <w:r>
        <w:rPr>
          <w:rFonts w:hint="eastAsia" w:ascii="Times New Roman" w:hAnsi="Times New Roman" w:eastAsia="仿宋_GB2312" w:cs="Times New Roman"/>
          <w:kern w:val="21"/>
          <w:sz w:val="32"/>
          <w:szCs w:val="32"/>
          <w:lang w:val="en-US" w:eastAsia="zh-CN"/>
        </w:rPr>
        <w:t>经营</w:t>
      </w:r>
      <w:r>
        <w:rPr>
          <w:rFonts w:hint="eastAsia" w:ascii="Times New Roman" w:hAnsi="Times New Roman" w:eastAsia="仿宋_GB2312" w:cs="Times New Roman"/>
          <w:kern w:val="21"/>
          <w:sz w:val="32"/>
          <w:szCs w:val="32"/>
        </w:rPr>
        <w:t>主体、社会力量、智库、公民等参与规划实施和决策咨询</w:t>
      </w:r>
      <w:r>
        <w:rPr>
          <w:rFonts w:hint="eastAsia" w:ascii="Times New Roman" w:hAnsi="Times New Roman" w:eastAsia="仿宋_GB2312" w:cs="Times New Roman"/>
          <w:kern w:val="21"/>
          <w:sz w:val="32"/>
          <w:szCs w:val="32"/>
          <w:lang w:eastAsia="zh-CN"/>
        </w:rPr>
        <w:t>，</w:t>
      </w:r>
      <w:r>
        <w:rPr>
          <w:rFonts w:hint="eastAsia" w:ascii="Times New Roman" w:hAnsi="Times New Roman" w:eastAsia="仿宋_GB2312" w:cs="Times New Roman"/>
          <w:kern w:val="21"/>
          <w:sz w:val="32"/>
          <w:szCs w:val="32"/>
        </w:rPr>
        <w:t>充分调动全社会投身中国式现代化吴江新实践的积极性、主动性、创造性，形成万众一心、团结奋斗的生动局面。</w:t>
      </w:r>
    </w:p>
    <w:p w14:paraId="5DF6D7A0">
      <w:pPr>
        <w:pStyle w:val="3"/>
        <w:keepNext w:val="0"/>
        <w:keepLines w:val="0"/>
        <w:pageBreakBefore w:val="0"/>
        <w:kinsoku/>
        <w:wordWrap/>
        <w:overflowPunct w:val="0"/>
        <w:topLinePunct/>
        <w:autoSpaceDE/>
        <w:autoSpaceDN/>
        <w:bidi w:val="0"/>
        <w:adjustRightInd/>
        <w:spacing w:before="156" w:after="156" w:line="546" w:lineRule="exact"/>
        <w:textAlignment w:val="auto"/>
        <w:rPr>
          <w:rFonts w:ascii="楷体_GB2312" w:hAnsi="楷体_GB2312" w:eastAsia="楷体_GB2312" w:cs="楷体_GB2312"/>
          <w:kern w:val="21"/>
        </w:rPr>
      </w:pPr>
      <w:bookmarkStart w:id="729" w:name="_Toc1858275839"/>
      <w:bookmarkStart w:id="730" w:name="_Toc13148"/>
      <w:bookmarkStart w:id="731" w:name="_Toc25774"/>
      <w:bookmarkStart w:id="732" w:name="_Toc1180035855"/>
      <w:bookmarkStart w:id="733" w:name="_Toc836584201"/>
      <w:bookmarkStart w:id="734" w:name="_Toc26375"/>
      <w:bookmarkStart w:id="735" w:name="_Toc707"/>
      <w:bookmarkStart w:id="736" w:name="_Toc8031"/>
      <w:bookmarkStart w:id="737" w:name="_Toc26125"/>
      <w:bookmarkStart w:id="738" w:name="_Toc23606"/>
      <w:r>
        <w:rPr>
          <w:rFonts w:ascii="楷体_GB2312" w:hAnsi="楷体_GB2312" w:eastAsia="楷体_GB2312" w:cs="楷体_GB2312"/>
          <w:kern w:val="21"/>
        </w:rPr>
        <w:t xml:space="preserve">第三节 </w:t>
      </w:r>
      <w:r>
        <w:rPr>
          <w:rFonts w:hint="eastAsia" w:ascii="楷体_GB2312" w:hAnsi="楷体_GB2312" w:eastAsia="楷体_GB2312" w:cs="楷体_GB2312"/>
          <w:kern w:val="21"/>
          <w:lang w:val="en-US" w:eastAsia="zh-CN"/>
        </w:rPr>
        <w:t xml:space="preserve"> </w:t>
      </w:r>
      <w:r>
        <w:rPr>
          <w:rFonts w:ascii="楷体_GB2312" w:hAnsi="楷体_GB2312" w:eastAsia="楷体_GB2312" w:cs="楷体_GB2312"/>
          <w:kern w:val="21"/>
        </w:rPr>
        <w:t>夯实规划实施保障</w:t>
      </w:r>
      <w:bookmarkEnd w:id="729"/>
      <w:bookmarkEnd w:id="730"/>
      <w:bookmarkEnd w:id="731"/>
      <w:bookmarkEnd w:id="732"/>
      <w:bookmarkEnd w:id="733"/>
      <w:bookmarkEnd w:id="734"/>
      <w:bookmarkEnd w:id="735"/>
      <w:bookmarkEnd w:id="736"/>
      <w:bookmarkEnd w:id="737"/>
      <w:bookmarkEnd w:id="738"/>
    </w:p>
    <w:p w14:paraId="445E2F71">
      <w:pPr>
        <w:pStyle w:val="21"/>
        <w:keepNext w:val="0"/>
        <w:keepLines w:val="0"/>
        <w:pageBreakBefore w:val="0"/>
        <w:kinsoku/>
        <w:wordWrap/>
        <w:overflowPunct w:val="0"/>
        <w:topLinePunct/>
        <w:autoSpaceDE/>
        <w:autoSpaceDN/>
        <w:bidi w:val="0"/>
        <w:adjustRightInd/>
        <w:spacing w:line="546" w:lineRule="exact"/>
        <w:ind w:firstLine="640"/>
        <w:textAlignment w:val="auto"/>
        <w:rPr>
          <w:rFonts w:hint="eastAsia" w:ascii="仿宋_GB2312" w:hAnsi="仿宋_GB2312" w:eastAsia="仿宋_GB2312" w:cs="仿宋_GB2312"/>
          <w:kern w:val="21"/>
          <w:sz w:val="32"/>
          <w:szCs w:val="32"/>
        </w:rPr>
      </w:pPr>
      <w:r>
        <w:rPr>
          <w:rFonts w:hint="eastAsia" w:ascii="仿宋_GB2312" w:hAnsi="仿宋_GB2312" w:eastAsia="仿宋_GB2312" w:cs="仿宋_GB2312"/>
          <w:kern w:val="21"/>
          <w:sz w:val="32"/>
          <w:szCs w:val="32"/>
        </w:rPr>
        <w:t>贯彻落实国家、省、市规划管理要求，强化“十五五”规划纲要与国土空间规划、重点专项规划的协同，形成定位精准、边界清晰、功能互补、统一衔接的规划体系。突出规划纲要的战略性、宏观性和政策性，深入落实一批事关长远发展的重大战略任务、再塑发展活力的重大改革举措、支撑高质量发展的重大工程项目、赢得未来新优势的重大平台载体，为各类规划系统落实上级决策部署和战略安排提供遵循。建立规划评估机制，组织开展本规划实施情况中期和期末评估，强化对规划实施情况动态监测。完善考核机制，对规划落实情况进行绩效考核，切实发挥监督和导向作用，形成上下同心、目标同向、落实同步的推进机制，确保各项目标任务落到实处。</w:t>
      </w:r>
    </w:p>
    <w:p w14:paraId="5E098306">
      <w:pPr>
        <w:keepNext w:val="0"/>
        <w:keepLines w:val="0"/>
        <w:pageBreakBefore w:val="0"/>
        <w:kinsoku/>
        <w:wordWrap/>
        <w:overflowPunct w:val="0"/>
        <w:topLinePunct/>
        <w:autoSpaceDE/>
        <w:autoSpaceDN/>
        <w:bidi w:val="0"/>
        <w:adjustRightInd/>
        <w:spacing w:line="560" w:lineRule="exact"/>
        <w:textAlignment w:val="auto"/>
        <w:rPr>
          <w:rFonts w:ascii="Times New Roman" w:hAnsi="Times New Roman" w:eastAsia="仿宋_GB2312" w:cs="Times New Roman"/>
          <w:kern w:val="21"/>
          <w:sz w:val="32"/>
          <w:szCs w:val="32"/>
          <w:lang w:eastAsia="zh-Hans"/>
        </w:rPr>
      </w:pPr>
      <w:r>
        <w:rPr>
          <w:rFonts w:ascii="Times New Roman" w:hAnsi="Times New Roman" w:eastAsia="仿宋_GB2312" w:cs="Times New Roman"/>
          <w:kern w:val="21"/>
          <w:sz w:val="32"/>
          <w:szCs w:val="32"/>
          <w:lang w:eastAsia="zh-Hans"/>
        </w:rPr>
        <w:br w:type="page"/>
      </w:r>
    </w:p>
    <w:p w14:paraId="013E003A">
      <w:pPr>
        <w:pStyle w:val="21"/>
        <w:keepNext w:val="0"/>
        <w:keepLines w:val="0"/>
        <w:pageBreakBefore w:val="0"/>
        <w:kinsoku/>
        <w:wordWrap/>
        <w:overflowPunct w:val="0"/>
        <w:topLinePunct/>
        <w:autoSpaceDE/>
        <w:autoSpaceDN/>
        <w:bidi w:val="0"/>
        <w:adjustRightInd/>
        <w:spacing w:line="560" w:lineRule="exact"/>
        <w:ind w:firstLine="0" w:firstLineChars="0"/>
        <w:textAlignment w:val="auto"/>
        <w:rPr>
          <w:rFonts w:hint="eastAsia" w:ascii="黑体" w:hAnsi="黑体" w:eastAsia="黑体" w:cs="黑体"/>
          <w:kern w:val="21"/>
          <w:sz w:val="32"/>
          <w:szCs w:val="32"/>
        </w:rPr>
      </w:pPr>
      <w:r>
        <w:rPr>
          <w:rFonts w:hint="eastAsia" w:ascii="黑体" w:hAnsi="黑体" w:eastAsia="黑体" w:cs="黑体"/>
          <w:kern w:val="21"/>
          <w:sz w:val="32"/>
          <w:szCs w:val="32"/>
        </w:rPr>
        <w:t>附件</w:t>
      </w:r>
    </w:p>
    <w:p w14:paraId="59DD0553">
      <w:pPr>
        <w:pStyle w:val="21"/>
        <w:keepNext w:val="0"/>
        <w:keepLines w:val="0"/>
        <w:pageBreakBefore w:val="0"/>
        <w:kinsoku/>
        <w:wordWrap/>
        <w:overflowPunct w:val="0"/>
        <w:topLinePunct/>
        <w:autoSpaceDE/>
        <w:autoSpaceDN/>
        <w:bidi w:val="0"/>
        <w:adjustRightInd/>
        <w:spacing w:line="560" w:lineRule="exact"/>
        <w:ind w:firstLine="0" w:firstLineChars="0"/>
        <w:jc w:val="center"/>
        <w:textAlignment w:val="auto"/>
        <w:rPr>
          <w:rFonts w:hint="eastAsia" w:ascii="方正小标宋_GBK" w:hAnsi="方正小标宋_GBK" w:eastAsia="方正小标宋_GBK" w:cs="方正小标宋_GBK"/>
          <w:kern w:val="21"/>
          <w:sz w:val="44"/>
          <w:szCs w:val="44"/>
        </w:rPr>
      </w:pPr>
      <w:r>
        <w:rPr>
          <w:rFonts w:hint="eastAsia" w:ascii="方正小标宋_GBK" w:hAnsi="方正小标宋_GBK" w:eastAsia="方正小标宋_GBK" w:cs="方正小标宋_GBK"/>
          <w:kern w:val="21"/>
          <w:sz w:val="44"/>
          <w:szCs w:val="44"/>
        </w:rPr>
        <w:t>名词解释</w:t>
      </w:r>
    </w:p>
    <w:p w14:paraId="7EDA6766">
      <w:pPr>
        <w:keepNext w:val="0"/>
        <w:keepLines w:val="0"/>
        <w:pageBreakBefore w:val="0"/>
        <w:kinsoku/>
        <w:wordWrap/>
        <w:autoSpaceDE/>
        <w:autoSpaceDN/>
        <w:bidi w:val="0"/>
        <w:adjustRightInd/>
        <w:spacing w:line="560" w:lineRule="exact"/>
        <w:textAlignment w:val="auto"/>
        <w:rPr>
          <w:kern w:val="21"/>
        </w:rPr>
      </w:pPr>
    </w:p>
    <w:p w14:paraId="6EE7AE09">
      <w:pPr>
        <w:keepNext w:val="0"/>
        <w:keepLines w:val="0"/>
        <w:pageBreakBefore w:val="0"/>
        <w:widowControl w:val="0"/>
        <w:kinsoku/>
        <w:wordWrap/>
        <w:overflowPunct w:val="0"/>
        <w:topLinePunct/>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napToGrid w:val="0"/>
          <w:kern w:val="21"/>
          <w:sz w:val="32"/>
          <w:szCs w:val="32"/>
        </w:rPr>
      </w:pPr>
      <w:r>
        <w:rPr>
          <w:rFonts w:hint="eastAsia" w:ascii="黑体" w:hAnsi="黑体" w:eastAsia="黑体" w:cs="黑体"/>
          <w:kern w:val="21"/>
          <w:sz w:val="32"/>
          <w:szCs w:val="32"/>
        </w:rPr>
        <w:t>两个确立：</w:t>
      </w:r>
      <w:r>
        <w:rPr>
          <w:rFonts w:hint="eastAsia" w:ascii="仿宋_GB2312" w:hAnsi="仿宋_GB2312" w:eastAsia="仿宋_GB2312" w:cs="仿宋_GB2312"/>
          <w:snapToGrid w:val="0"/>
          <w:kern w:val="21"/>
          <w:sz w:val="32"/>
          <w:szCs w:val="32"/>
        </w:rPr>
        <w:t>确立习近平同志党中央的核心、全党的核心地位，确立习近平新时代中国特色社会主义思想的指导地位。</w:t>
      </w:r>
    </w:p>
    <w:p w14:paraId="20FE8F03">
      <w:pPr>
        <w:keepNext w:val="0"/>
        <w:keepLines w:val="0"/>
        <w:pageBreakBefore w:val="0"/>
        <w:widowControl w:val="0"/>
        <w:kinsoku/>
        <w:wordWrap/>
        <w:overflowPunct w:val="0"/>
        <w:topLinePunct/>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napToGrid w:val="0"/>
          <w:kern w:val="21"/>
          <w:sz w:val="32"/>
          <w:szCs w:val="32"/>
        </w:rPr>
      </w:pPr>
      <w:r>
        <w:rPr>
          <w:rFonts w:hint="eastAsia" w:ascii="黑体" w:hAnsi="黑体" w:eastAsia="黑体" w:cs="黑体"/>
          <w:i w:val="0"/>
          <w:iCs w:val="0"/>
          <w:caps w:val="0"/>
          <w:spacing w:val="0"/>
          <w:kern w:val="21"/>
          <w:sz w:val="32"/>
          <w:szCs w:val="32"/>
          <w:shd w:val="clear"/>
        </w:rPr>
        <w:t>两个维护</w:t>
      </w:r>
      <w:r>
        <w:rPr>
          <w:rFonts w:hint="eastAsia" w:ascii="黑体" w:hAnsi="黑体" w:eastAsia="黑体" w:cs="黑体"/>
          <w:i w:val="0"/>
          <w:iCs w:val="0"/>
          <w:caps w:val="0"/>
          <w:snapToGrid/>
          <w:spacing w:val="0"/>
          <w:kern w:val="21"/>
          <w:sz w:val="32"/>
          <w:szCs w:val="32"/>
          <w:shd w:val="clear"/>
          <w:lang w:eastAsia="zh-CN"/>
        </w:rPr>
        <w:t>：</w:t>
      </w:r>
      <w:r>
        <w:rPr>
          <w:rFonts w:hint="eastAsia" w:ascii="仿宋_GB2312" w:hAnsi="仿宋_GB2312" w:eastAsia="仿宋_GB2312" w:cs="仿宋_GB2312"/>
          <w:i w:val="0"/>
          <w:iCs w:val="0"/>
          <w:caps w:val="0"/>
          <w:snapToGrid w:val="0"/>
          <w:spacing w:val="0"/>
          <w:kern w:val="21"/>
          <w:sz w:val="32"/>
          <w:szCs w:val="32"/>
          <w:shd w:val="clear"/>
        </w:rPr>
        <w:t>坚决维护习近平总书记党中央的核心、全党的核心地位</w:t>
      </w:r>
      <w:r>
        <w:rPr>
          <w:rFonts w:hint="eastAsia" w:ascii="仿宋_GB2312" w:hAnsi="仿宋_GB2312" w:eastAsia="仿宋_GB2312" w:cs="仿宋_GB2312"/>
          <w:i w:val="0"/>
          <w:iCs w:val="0"/>
          <w:caps w:val="0"/>
          <w:snapToGrid w:val="0"/>
          <w:spacing w:val="0"/>
          <w:kern w:val="21"/>
          <w:sz w:val="32"/>
          <w:szCs w:val="32"/>
          <w:shd w:val="clear"/>
          <w:lang w:eastAsia="zh-CN"/>
        </w:rPr>
        <w:t>，</w:t>
      </w:r>
      <w:r>
        <w:rPr>
          <w:rFonts w:hint="eastAsia" w:ascii="仿宋_GB2312" w:hAnsi="仿宋_GB2312" w:eastAsia="仿宋_GB2312" w:cs="仿宋_GB2312"/>
          <w:i w:val="0"/>
          <w:iCs w:val="0"/>
          <w:caps w:val="0"/>
          <w:snapToGrid w:val="0"/>
          <w:spacing w:val="0"/>
          <w:kern w:val="21"/>
          <w:sz w:val="32"/>
          <w:szCs w:val="32"/>
          <w:shd w:val="clear"/>
        </w:rPr>
        <w:t>坚决维护党中央权威和集中统一领导。</w:t>
      </w:r>
    </w:p>
    <w:p w14:paraId="2F4479A5">
      <w:pPr>
        <w:keepNext w:val="0"/>
        <w:keepLines w:val="0"/>
        <w:pageBreakBefore w:val="0"/>
        <w:widowControl w:val="0"/>
        <w:kinsoku/>
        <w:wordWrap/>
        <w:overflowPunct w:val="0"/>
        <w:topLinePunct/>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napToGrid w:val="0"/>
          <w:kern w:val="21"/>
          <w:sz w:val="32"/>
          <w:szCs w:val="32"/>
        </w:rPr>
      </w:pPr>
      <w:r>
        <w:rPr>
          <w:rFonts w:hint="eastAsia" w:ascii="黑体" w:hAnsi="黑体" w:eastAsia="黑体" w:cs="黑体"/>
          <w:kern w:val="21"/>
          <w:sz w:val="32"/>
          <w:szCs w:val="32"/>
        </w:rPr>
        <w:t>四个意识：</w:t>
      </w:r>
      <w:r>
        <w:rPr>
          <w:rFonts w:hint="eastAsia" w:ascii="仿宋_GB2312" w:hAnsi="仿宋_GB2312" w:eastAsia="仿宋_GB2312" w:cs="仿宋_GB2312"/>
          <w:snapToGrid w:val="0"/>
          <w:kern w:val="21"/>
          <w:sz w:val="32"/>
          <w:szCs w:val="32"/>
        </w:rPr>
        <w:t>政治意识、大局意识、核心意识、看齐意识。</w:t>
      </w:r>
    </w:p>
    <w:p w14:paraId="5AA815A9">
      <w:pPr>
        <w:keepNext w:val="0"/>
        <w:keepLines w:val="0"/>
        <w:pageBreakBefore w:val="0"/>
        <w:widowControl w:val="0"/>
        <w:kinsoku/>
        <w:wordWrap/>
        <w:overflowPunct w:val="0"/>
        <w:topLinePunct/>
        <w:autoSpaceDE/>
        <w:autoSpaceDN/>
        <w:bidi w:val="0"/>
        <w:adjustRightInd/>
        <w:snapToGrid/>
        <w:spacing w:line="560" w:lineRule="exact"/>
        <w:ind w:firstLine="640" w:firstLineChars="200"/>
        <w:jc w:val="both"/>
        <w:textAlignment w:val="auto"/>
        <w:rPr>
          <w:rFonts w:hint="eastAsia" w:ascii="黑体" w:hAnsi="黑体" w:eastAsia="黑体" w:cs="黑体"/>
          <w:kern w:val="21"/>
          <w:sz w:val="32"/>
          <w:szCs w:val="32"/>
        </w:rPr>
      </w:pPr>
      <w:r>
        <w:rPr>
          <w:rFonts w:hint="eastAsia" w:ascii="黑体" w:hAnsi="黑体" w:eastAsia="黑体" w:cs="黑体"/>
          <w:kern w:val="21"/>
          <w:sz w:val="32"/>
          <w:szCs w:val="32"/>
        </w:rPr>
        <w:t>四个自信：</w:t>
      </w:r>
      <w:r>
        <w:rPr>
          <w:rFonts w:hint="eastAsia" w:ascii="仿宋_GB2312" w:hAnsi="仿宋_GB2312" w:eastAsia="仿宋_GB2312" w:cs="仿宋_GB2312"/>
          <w:snapToGrid w:val="0"/>
          <w:kern w:val="21"/>
          <w:sz w:val="32"/>
          <w:szCs w:val="32"/>
        </w:rPr>
        <w:t>中国特色社会主义道路自信、理论自信、制度自信、文化自信。</w:t>
      </w:r>
    </w:p>
    <w:p w14:paraId="1916272B">
      <w:pPr>
        <w:keepNext w:val="0"/>
        <w:keepLines w:val="0"/>
        <w:pageBreakBefore w:val="0"/>
        <w:widowControl w:val="0"/>
        <w:kinsoku/>
        <w:wordWrap/>
        <w:overflowPunct w:val="0"/>
        <w:topLinePunct/>
        <w:autoSpaceDE/>
        <w:autoSpaceDN/>
        <w:bidi w:val="0"/>
        <w:adjustRightInd/>
        <w:snapToGrid/>
        <w:spacing w:line="560" w:lineRule="exact"/>
        <w:ind w:firstLine="640" w:firstLineChars="200"/>
        <w:jc w:val="both"/>
        <w:textAlignment w:val="auto"/>
        <w:rPr>
          <w:rFonts w:ascii="仿宋_GB2312" w:eastAsia="仿宋_GB2312"/>
          <w:kern w:val="21"/>
          <w:sz w:val="32"/>
          <w:szCs w:val="32"/>
        </w:rPr>
      </w:pPr>
      <w:r>
        <w:rPr>
          <w:rFonts w:hint="eastAsia" w:ascii="黑体" w:hAnsi="黑体" w:eastAsia="黑体" w:cs="黑体"/>
          <w:kern w:val="21"/>
          <w:sz w:val="32"/>
          <w:szCs w:val="32"/>
        </w:rPr>
        <w:t>示范区“一田三新”战略定位：</w:t>
      </w:r>
      <w:r>
        <w:rPr>
          <w:rFonts w:hint="eastAsia" w:ascii="仿宋_GB2312" w:eastAsia="仿宋_GB2312"/>
          <w:kern w:val="21"/>
          <w:sz w:val="32"/>
          <w:szCs w:val="32"/>
        </w:rPr>
        <w:t>一体化制度创新试验田、生态优势转化新标杆、绿色创新发展新高地、人与自然和谐宜居新典范。</w:t>
      </w:r>
    </w:p>
    <w:p w14:paraId="00E060CA">
      <w:pPr>
        <w:keepNext w:val="0"/>
        <w:keepLines w:val="0"/>
        <w:pageBreakBefore w:val="0"/>
        <w:widowControl w:val="0"/>
        <w:kinsoku/>
        <w:wordWrap/>
        <w:overflowPunct w:val="0"/>
        <w:topLinePunct/>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napToGrid w:val="0"/>
          <w:kern w:val="21"/>
          <w:sz w:val="32"/>
          <w:szCs w:val="32"/>
        </w:rPr>
      </w:pPr>
      <w:r>
        <w:rPr>
          <w:rFonts w:hint="eastAsia" w:ascii="黑体" w:hAnsi="黑体" w:eastAsia="黑体" w:cs="黑体"/>
          <w:kern w:val="21"/>
          <w:sz w:val="32"/>
          <w:szCs w:val="32"/>
        </w:rPr>
        <w:t>四个走在前：</w:t>
      </w:r>
      <w:r>
        <w:rPr>
          <w:rFonts w:hint="eastAsia" w:ascii="仿宋_GB2312" w:hAnsi="仿宋_GB2312" w:eastAsia="仿宋_GB2312" w:cs="仿宋_GB2312"/>
          <w:snapToGrid w:val="0"/>
          <w:kern w:val="21"/>
          <w:sz w:val="32"/>
          <w:szCs w:val="32"/>
        </w:rPr>
        <w:t>在科技自立自强上走在前、在构建新发展格局上走在前、在推进农业现代化上走在前、在强化基层治理和民生保障上走在前。</w:t>
      </w:r>
    </w:p>
    <w:p w14:paraId="2E30DEA5">
      <w:pPr>
        <w:keepNext w:val="0"/>
        <w:keepLines w:val="0"/>
        <w:pageBreakBefore w:val="0"/>
        <w:widowControl w:val="0"/>
        <w:kinsoku/>
        <w:wordWrap/>
        <w:overflowPunct w:val="0"/>
        <w:topLinePunct/>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1"/>
          <w:sz w:val="32"/>
          <w:szCs w:val="32"/>
          <w:lang w:eastAsia="zh-CN"/>
        </w:rPr>
      </w:pPr>
      <w:r>
        <w:rPr>
          <w:rFonts w:hint="eastAsia" w:ascii="黑体" w:hAnsi="黑体" w:eastAsia="黑体" w:cs="黑体"/>
          <w:kern w:val="21"/>
          <w:sz w:val="32"/>
          <w:szCs w:val="32"/>
        </w:rPr>
        <w:t>四个新：</w:t>
      </w:r>
      <w:r>
        <w:rPr>
          <w:rFonts w:hint="eastAsia" w:ascii="仿宋_GB2312" w:hAnsi="仿宋_GB2312" w:eastAsia="仿宋_GB2312" w:cs="仿宋_GB2312"/>
          <w:snapToGrid w:val="0"/>
          <w:kern w:val="21"/>
          <w:sz w:val="32"/>
          <w:szCs w:val="32"/>
        </w:rPr>
        <w:t>在科技创新上取得新突破</w:t>
      </w:r>
      <w:r>
        <w:rPr>
          <w:rFonts w:hint="eastAsia" w:ascii="仿宋_GB2312" w:hAnsi="仿宋_GB2312" w:eastAsia="仿宋_GB2312" w:cs="仿宋_GB2312"/>
          <w:snapToGrid w:val="0"/>
          <w:kern w:val="21"/>
          <w:sz w:val="32"/>
          <w:szCs w:val="32"/>
          <w:lang w:eastAsia="zh-CN"/>
        </w:rPr>
        <w:t>，</w:t>
      </w:r>
      <w:r>
        <w:rPr>
          <w:rFonts w:hint="eastAsia" w:ascii="仿宋_GB2312" w:hAnsi="仿宋_GB2312" w:eastAsia="仿宋_GB2312" w:cs="仿宋_GB2312"/>
          <w:snapToGrid w:val="0"/>
          <w:kern w:val="21"/>
          <w:sz w:val="32"/>
          <w:szCs w:val="32"/>
        </w:rPr>
        <w:t>在强链补链延链上展现新作为</w:t>
      </w:r>
      <w:r>
        <w:rPr>
          <w:rFonts w:hint="eastAsia" w:ascii="仿宋_GB2312" w:hAnsi="仿宋_GB2312" w:eastAsia="仿宋_GB2312" w:cs="仿宋_GB2312"/>
          <w:snapToGrid w:val="0"/>
          <w:kern w:val="21"/>
          <w:sz w:val="32"/>
          <w:szCs w:val="32"/>
          <w:lang w:eastAsia="zh-CN"/>
        </w:rPr>
        <w:t>，</w:t>
      </w:r>
      <w:r>
        <w:rPr>
          <w:rFonts w:hint="eastAsia" w:ascii="仿宋_GB2312" w:hAnsi="仿宋_GB2312" w:eastAsia="仿宋_GB2312" w:cs="仿宋_GB2312"/>
          <w:snapToGrid w:val="0"/>
          <w:kern w:val="21"/>
          <w:sz w:val="32"/>
          <w:szCs w:val="32"/>
        </w:rPr>
        <w:t>在建设中华民族现代文明上探索新经验</w:t>
      </w:r>
      <w:r>
        <w:rPr>
          <w:rFonts w:hint="eastAsia" w:ascii="仿宋_GB2312" w:hAnsi="仿宋_GB2312" w:eastAsia="仿宋_GB2312" w:cs="仿宋_GB2312"/>
          <w:snapToGrid w:val="0"/>
          <w:kern w:val="21"/>
          <w:sz w:val="32"/>
          <w:szCs w:val="32"/>
          <w:lang w:eastAsia="zh-CN"/>
        </w:rPr>
        <w:t>，</w:t>
      </w:r>
      <w:r>
        <w:rPr>
          <w:rFonts w:hint="eastAsia" w:ascii="仿宋_GB2312" w:hAnsi="仿宋_GB2312" w:eastAsia="仿宋_GB2312" w:cs="仿宋_GB2312"/>
          <w:snapToGrid w:val="0"/>
          <w:kern w:val="21"/>
          <w:sz w:val="32"/>
          <w:szCs w:val="32"/>
        </w:rPr>
        <w:t>在推进社会治理现代化上实现新提升</w:t>
      </w:r>
      <w:r>
        <w:rPr>
          <w:rFonts w:hint="eastAsia" w:ascii="仿宋_GB2312" w:hAnsi="仿宋_GB2312" w:eastAsia="仿宋_GB2312" w:cs="仿宋_GB2312"/>
          <w:snapToGrid w:val="0"/>
          <w:kern w:val="21"/>
          <w:sz w:val="32"/>
          <w:szCs w:val="32"/>
          <w:lang w:eastAsia="zh-CN"/>
        </w:rPr>
        <w:t>。</w:t>
      </w:r>
    </w:p>
    <w:p w14:paraId="077B0BB3">
      <w:pPr>
        <w:keepNext w:val="0"/>
        <w:keepLines w:val="0"/>
        <w:pageBreakBefore w:val="0"/>
        <w:widowControl w:val="0"/>
        <w:kinsoku/>
        <w:wordWrap/>
        <w:overflowPunct w:val="0"/>
        <w:topLinePunct/>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1"/>
          <w:sz w:val="32"/>
          <w:szCs w:val="32"/>
        </w:rPr>
      </w:pPr>
      <w:r>
        <w:rPr>
          <w:rFonts w:hint="eastAsia" w:ascii="黑体" w:hAnsi="黑体" w:eastAsia="黑体" w:cs="黑体"/>
          <w:kern w:val="21"/>
          <w:sz w:val="32"/>
          <w:szCs w:val="32"/>
        </w:rPr>
        <w:t>4+1：</w:t>
      </w:r>
      <w:r>
        <w:rPr>
          <w:rFonts w:hint="eastAsia" w:ascii="仿宋_GB2312" w:hAnsi="仿宋_GB2312" w:eastAsia="仿宋_GB2312" w:cs="仿宋_GB2312"/>
          <w:kern w:val="21"/>
          <w:sz w:val="32"/>
          <w:szCs w:val="32"/>
        </w:rPr>
        <w:t>“4”是四点要求：一是牢牢把握高质量发展这个首要任务，因地制宜加快发展新质生产力；二是全面深化改革开放，持续增强发展的内生动力和活力；三是积极促进区域协调发展，不断提升发展的辐射带动力；四是营造干事创业的良好氛围，着力形成推动发展的强大合力。“1”是抓好安全生产。</w:t>
      </w:r>
    </w:p>
    <w:p w14:paraId="796D0F11">
      <w:pPr>
        <w:keepNext w:val="0"/>
        <w:keepLines w:val="0"/>
        <w:pageBreakBefore w:val="0"/>
        <w:widowControl w:val="0"/>
        <w:kinsoku/>
        <w:wordWrap/>
        <w:overflowPunct w:val="0"/>
        <w:topLinePunct/>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1"/>
          <w:sz w:val="32"/>
          <w:szCs w:val="32"/>
        </w:rPr>
      </w:pPr>
      <w:r>
        <w:rPr>
          <w:rFonts w:hint="eastAsia" w:ascii="黑体" w:hAnsi="黑体" w:eastAsia="黑体" w:cs="黑体"/>
          <w:kern w:val="21"/>
          <w:sz w:val="32"/>
          <w:szCs w:val="32"/>
        </w:rPr>
        <w:t>四个着力点：</w:t>
      </w:r>
      <w:r>
        <w:rPr>
          <w:rFonts w:hint="eastAsia" w:ascii="仿宋_GB2312" w:hAnsi="仿宋_GB2312" w:eastAsia="仿宋_GB2312" w:cs="仿宋_GB2312"/>
          <w:kern w:val="21"/>
          <w:sz w:val="32"/>
          <w:szCs w:val="32"/>
          <w:shd w:val="clear" w:color="auto" w:fill="FFFFFF"/>
        </w:rPr>
        <w:t>在推动科技创新和产业创新融合上打头阵，在推进深层次改革和高水平开放上勇争先，在落实国家重大发展战略上走在前，在促进全体人民共同富裕上作示范。</w:t>
      </w:r>
    </w:p>
    <w:p w14:paraId="33585D8C">
      <w:pPr>
        <w:keepNext w:val="0"/>
        <w:keepLines w:val="0"/>
        <w:pageBreakBefore w:val="0"/>
        <w:widowControl w:val="0"/>
        <w:kinsoku/>
        <w:wordWrap/>
        <w:overflowPunct w:val="0"/>
        <w:topLinePunct/>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1"/>
          <w:sz w:val="32"/>
          <w:szCs w:val="32"/>
        </w:rPr>
      </w:pPr>
      <w:r>
        <w:rPr>
          <w:rFonts w:hint="eastAsia" w:ascii="黑体" w:hAnsi="黑体" w:eastAsia="黑体" w:cs="黑体"/>
          <w:kern w:val="21"/>
          <w:sz w:val="32"/>
          <w:szCs w:val="32"/>
        </w:rPr>
        <w:t>四个面向：</w:t>
      </w:r>
      <w:r>
        <w:rPr>
          <w:rFonts w:hint="eastAsia" w:ascii="仿宋_GB2312" w:hAnsi="仿宋_GB2312" w:eastAsia="仿宋_GB2312" w:cs="仿宋_GB2312"/>
          <w:kern w:val="21"/>
          <w:sz w:val="32"/>
          <w:szCs w:val="32"/>
        </w:rPr>
        <w:t>坚持面向世界科技前沿、面向经济主战场、面向国家重大需求、面向人民生命健康，深入实施新时代人才强国战略，全方位培养、引进、用好人才。</w:t>
      </w:r>
    </w:p>
    <w:p w14:paraId="66E4EF08">
      <w:pPr>
        <w:keepNext w:val="0"/>
        <w:keepLines w:val="0"/>
        <w:pageBreakBefore w:val="0"/>
        <w:widowControl w:val="0"/>
        <w:kinsoku/>
        <w:wordWrap/>
        <w:overflowPunct w:val="0"/>
        <w:topLinePunct/>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1"/>
          <w:sz w:val="32"/>
          <w:szCs w:val="32"/>
        </w:rPr>
      </w:pPr>
      <w:r>
        <w:rPr>
          <w:rFonts w:hint="eastAsia" w:ascii="黑体" w:hAnsi="黑体" w:eastAsia="黑体" w:cs="黑体"/>
          <w:kern w:val="21"/>
          <w:sz w:val="32"/>
          <w:szCs w:val="32"/>
        </w:rPr>
        <w:t>民生七优：</w:t>
      </w:r>
      <w:r>
        <w:rPr>
          <w:rFonts w:hint="eastAsia" w:ascii="仿宋_GB2312" w:hAnsi="仿宋_GB2312" w:eastAsia="仿宋_GB2312" w:cs="仿宋_GB2312"/>
          <w:kern w:val="21"/>
          <w:sz w:val="32"/>
          <w:szCs w:val="32"/>
        </w:rPr>
        <w:t>幼有善育、学有优教、劳有厚得、病有良医、老有颐养、住有宜居、弱有众扶。</w:t>
      </w:r>
    </w:p>
    <w:p w14:paraId="1408439E">
      <w:pPr>
        <w:keepNext w:val="0"/>
        <w:keepLines w:val="0"/>
        <w:pageBreakBefore w:val="0"/>
        <w:widowControl w:val="0"/>
        <w:kinsoku/>
        <w:wordWrap/>
        <w:overflowPunct w:val="0"/>
        <w:topLinePunct/>
        <w:autoSpaceDE/>
        <w:autoSpaceDN/>
        <w:bidi w:val="0"/>
        <w:adjustRightInd/>
        <w:snapToGrid/>
        <w:spacing w:line="560" w:lineRule="exact"/>
        <w:ind w:firstLine="640" w:firstLineChars="200"/>
        <w:jc w:val="both"/>
        <w:textAlignment w:val="auto"/>
        <w:rPr>
          <w:rFonts w:hint="eastAsia" w:ascii="黑体" w:hAnsi="黑体" w:eastAsia="黑体" w:cs="黑体"/>
          <w:kern w:val="21"/>
          <w:sz w:val="32"/>
          <w:szCs w:val="32"/>
        </w:rPr>
      </w:pPr>
      <w:r>
        <w:rPr>
          <w:rFonts w:hint="eastAsia" w:ascii="黑体" w:hAnsi="黑体" w:eastAsia="黑体" w:cs="黑体"/>
          <w:kern w:val="21"/>
          <w:sz w:val="32"/>
          <w:szCs w:val="32"/>
        </w:rPr>
        <w:t>五统一、一开放：</w:t>
      </w:r>
      <w:r>
        <w:rPr>
          <w:rFonts w:hint="eastAsia" w:ascii="仿宋_GB2312" w:hAnsi="仿宋_GB2312" w:eastAsia="仿宋_GB2312" w:cs="仿宋_GB2312"/>
          <w:snapToGrid w:val="0"/>
          <w:kern w:val="21"/>
          <w:sz w:val="32"/>
          <w:szCs w:val="32"/>
        </w:rPr>
        <w:t>统一市场基础制度、统一市场基础设施、统一政府行为尺度、统一市场监管执法、统一要素资源市场，持续扩大对内对外开放。</w:t>
      </w:r>
    </w:p>
    <w:p w14:paraId="24A0B0F8">
      <w:pPr>
        <w:keepNext w:val="0"/>
        <w:keepLines w:val="0"/>
        <w:pageBreakBefore w:val="0"/>
        <w:widowControl w:val="0"/>
        <w:kinsoku/>
        <w:wordWrap/>
        <w:overflowPunct w:val="0"/>
        <w:topLinePunct/>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1"/>
          <w:sz w:val="32"/>
          <w:szCs w:val="32"/>
        </w:rPr>
      </w:pPr>
      <w:r>
        <w:rPr>
          <w:rFonts w:hint="eastAsia" w:ascii="黑体" w:hAnsi="黑体" w:eastAsia="黑体" w:cs="黑体"/>
          <w:kern w:val="21"/>
          <w:sz w:val="32"/>
          <w:szCs w:val="32"/>
          <w:lang w:eastAsia="zh-CN"/>
        </w:rPr>
        <w:t>“</w:t>
      </w:r>
      <w:r>
        <w:rPr>
          <w:rFonts w:hint="eastAsia" w:ascii="黑体" w:hAnsi="黑体" w:eastAsia="黑体" w:cs="黑体"/>
          <w:kern w:val="21"/>
          <w:sz w:val="32"/>
          <w:szCs w:val="32"/>
        </w:rPr>
        <w:t>1+3+3+N</w:t>
      </w:r>
      <w:r>
        <w:rPr>
          <w:rFonts w:hint="eastAsia" w:ascii="黑体" w:hAnsi="黑体" w:eastAsia="黑体" w:cs="黑体"/>
          <w:kern w:val="21"/>
          <w:sz w:val="32"/>
          <w:szCs w:val="32"/>
          <w:lang w:eastAsia="zh-CN"/>
        </w:rPr>
        <w:t>”</w:t>
      </w:r>
      <w:r>
        <w:rPr>
          <w:rFonts w:hint="eastAsia" w:ascii="黑体" w:hAnsi="黑体" w:eastAsia="黑体" w:cs="黑体"/>
          <w:kern w:val="21"/>
          <w:sz w:val="32"/>
          <w:szCs w:val="32"/>
        </w:rPr>
        <w:t>农业主导产业发展格局：</w:t>
      </w:r>
      <w:r>
        <w:rPr>
          <w:rFonts w:hint="eastAsia" w:ascii="仿宋_GB2312" w:hAnsi="仿宋_GB2312" w:eastAsia="仿宋_GB2312" w:cs="仿宋_GB2312"/>
          <w:kern w:val="21"/>
          <w:sz w:val="32"/>
          <w:szCs w:val="32"/>
        </w:rPr>
        <w:t>打造百亿级新型食品全产业集群1个，做强十亿级农业优势产业3个，培育超亿级新兴农业全产业链3条，提升多个特色农产品影响力。</w:t>
      </w:r>
    </w:p>
    <w:p w14:paraId="09542630">
      <w:pPr>
        <w:keepNext w:val="0"/>
        <w:keepLines w:val="0"/>
        <w:pageBreakBefore w:val="0"/>
        <w:widowControl w:val="0"/>
        <w:kinsoku/>
        <w:wordWrap/>
        <w:overflowPunct w:val="0"/>
        <w:topLinePunct/>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1"/>
          <w:sz w:val="32"/>
          <w:szCs w:val="32"/>
        </w:rPr>
      </w:pPr>
      <w:r>
        <w:rPr>
          <w:rFonts w:hint="eastAsia" w:ascii="黑体" w:hAnsi="黑体" w:eastAsia="黑体" w:cs="黑体"/>
          <w:kern w:val="21"/>
          <w:sz w:val="32"/>
          <w:szCs w:val="32"/>
        </w:rPr>
        <w:t>“1+2+3+4+N”就业友好生态服务体系：</w:t>
      </w:r>
      <w:r>
        <w:rPr>
          <w:rFonts w:hint="eastAsia" w:ascii="仿宋_GB2312" w:hAnsi="仿宋_GB2312" w:eastAsia="仿宋_GB2312" w:cs="仿宋_GB2312"/>
          <w:kern w:val="21"/>
          <w:sz w:val="32"/>
          <w:szCs w:val="32"/>
        </w:rPr>
        <w:t>围绕“就在苏州</w:t>
      </w:r>
      <w:r>
        <w:rPr>
          <w:rFonts w:hint="eastAsia" w:ascii="仿宋_GB2312" w:hAnsi="仿宋_GB2312" w:eastAsia="仿宋_GB2312" w:cs="仿宋_GB2312"/>
          <w:kern w:val="21"/>
          <w:sz w:val="32"/>
          <w:szCs w:val="32"/>
          <w:lang w:val="en-US" w:eastAsia="zh-CN"/>
        </w:rPr>
        <w:t xml:space="preserve"> </w:t>
      </w:r>
      <w:r>
        <w:rPr>
          <w:rFonts w:hint="eastAsia" w:ascii="仿宋_GB2312" w:hAnsi="仿宋_GB2312" w:eastAsia="仿宋_GB2312" w:cs="仿宋_GB2312"/>
          <w:kern w:val="21"/>
          <w:sz w:val="32"/>
          <w:szCs w:val="32"/>
        </w:rPr>
        <w:t>乐业吴江”服务品牌，发挥“政府+市场”双轮驱动，实施“乐业吴江+创响吴江+技能吴江”三大工程，坚持“产业友好、人才友好、服务友好、生态友好”四维联动，拓展N项“就业友好”服务场景。</w:t>
      </w:r>
    </w:p>
    <w:p w14:paraId="340CCBFF">
      <w:pPr>
        <w:keepNext w:val="0"/>
        <w:keepLines w:val="0"/>
        <w:pageBreakBefore w:val="0"/>
        <w:widowControl w:val="0"/>
        <w:suppressLineNumbers w:val="0"/>
        <w:kinsoku/>
        <w:wordWrap/>
        <w:overflowPunct w:val="0"/>
        <w:topLinePunct/>
        <w:autoSpaceDE/>
        <w:autoSpaceDN/>
        <w:bidi w:val="0"/>
        <w:adjustRightInd/>
        <w:snapToGrid/>
        <w:spacing w:line="560" w:lineRule="exact"/>
        <w:ind w:firstLine="640" w:firstLineChars="200"/>
        <w:jc w:val="both"/>
        <w:textAlignment w:val="auto"/>
        <w:rPr>
          <w:rFonts w:ascii="仿宋_GB2312" w:hAnsi="仿宋_GB2312" w:eastAsia="仿宋_GB2312" w:cs="仿宋_GB2312"/>
          <w:kern w:val="21"/>
          <w:sz w:val="32"/>
          <w:szCs w:val="32"/>
        </w:rPr>
      </w:pPr>
      <w:r>
        <w:rPr>
          <w:rFonts w:ascii="黑体" w:hAnsi="黑体" w:eastAsia="黑体" w:cs="黑体"/>
          <w:kern w:val="21"/>
          <w:sz w:val="32"/>
          <w:szCs w:val="32"/>
        </w:rPr>
        <w:t>情绪经济</w:t>
      </w:r>
      <w:r>
        <w:rPr>
          <w:rFonts w:hint="eastAsia" w:ascii="黑体" w:hAnsi="黑体" w:eastAsia="黑体" w:cs="黑体"/>
          <w:kern w:val="21"/>
          <w:sz w:val="32"/>
          <w:szCs w:val="32"/>
        </w:rPr>
        <w:t>：</w:t>
      </w:r>
      <w:r>
        <w:rPr>
          <w:rFonts w:ascii="仿宋_GB2312" w:hAnsi="仿宋_GB2312" w:eastAsia="仿宋_GB2312" w:cs="仿宋_GB2312"/>
          <w:kern w:val="21"/>
          <w:sz w:val="32"/>
          <w:szCs w:val="32"/>
        </w:rPr>
        <w:t>围绕消费者情绪需求，推动国潮文创、心理疗愈、沉浸式体验等业态规范健康发展。</w:t>
      </w:r>
    </w:p>
    <w:p w14:paraId="5A59433A">
      <w:pPr>
        <w:keepNext w:val="0"/>
        <w:keepLines w:val="0"/>
        <w:pageBreakBefore w:val="0"/>
        <w:widowControl w:val="0"/>
        <w:kinsoku/>
        <w:wordWrap/>
        <w:overflowPunct w:val="0"/>
        <w:topLinePunct/>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1"/>
          <w:sz w:val="32"/>
          <w:szCs w:val="32"/>
        </w:rPr>
      </w:pPr>
      <w:r>
        <w:rPr>
          <w:rFonts w:hint="eastAsia" w:ascii="黑体" w:hAnsi="黑体" w:eastAsia="黑体" w:cs="黑体"/>
          <w:kern w:val="21"/>
          <w:sz w:val="32"/>
          <w:szCs w:val="32"/>
        </w:rPr>
        <w:t>票根经济：</w:t>
      </w:r>
      <w:r>
        <w:rPr>
          <w:rFonts w:hint="eastAsia" w:ascii="仿宋_GB2312" w:hAnsi="仿宋_GB2312" w:eastAsia="仿宋_GB2312" w:cs="仿宋_GB2312"/>
          <w:kern w:val="21"/>
          <w:sz w:val="32"/>
          <w:szCs w:val="32"/>
        </w:rPr>
        <w:t>鼓励各类运营主体将票务凭证转化为优惠凭证，进一步延伸消费链。</w:t>
      </w:r>
    </w:p>
    <w:p w14:paraId="65AA0E80">
      <w:pPr>
        <w:keepNext w:val="0"/>
        <w:keepLines w:val="0"/>
        <w:pageBreakBefore w:val="0"/>
        <w:widowControl w:val="0"/>
        <w:kinsoku/>
        <w:wordWrap/>
        <w:overflowPunct w:val="0"/>
        <w:topLinePunct/>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1"/>
          <w:sz w:val="32"/>
          <w:szCs w:val="32"/>
        </w:rPr>
      </w:pPr>
      <w:r>
        <w:rPr>
          <w:rFonts w:hint="default" w:ascii="黑体" w:hAnsi="黑体" w:eastAsia="黑体" w:cs="黑体"/>
          <w:i w:val="0"/>
          <w:iCs w:val="0"/>
          <w:caps w:val="0"/>
          <w:color w:val="auto"/>
          <w:spacing w:val="0"/>
          <w:kern w:val="21"/>
          <w:sz w:val="32"/>
          <w:szCs w:val="32"/>
          <w:shd w:val="clear" w:fill="auto"/>
          <w:lang w:val="en-US" w:eastAsia="zh-CN" w:bidi="ar"/>
        </w:rPr>
        <w:t>林下经济：</w:t>
      </w:r>
      <w:r>
        <w:rPr>
          <w:rFonts w:hint="default" w:ascii="仿宋_GB2312" w:hAnsi="仿宋_GB2312" w:eastAsia="仿宋_GB2312" w:cs="仿宋_GB2312"/>
          <w:i w:val="0"/>
          <w:iCs w:val="0"/>
          <w:caps w:val="0"/>
          <w:color w:val="auto"/>
          <w:spacing w:val="0"/>
          <w:kern w:val="21"/>
          <w:sz w:val="32"/>
          <w:szCs w:val="32"/>
          <w:shd w:val="clear" w:fill="auto"/>
          <w:lang w:val="en-US" w:eastAsia="zh-CN" w:bidi="ar"/>
        </w:rPr>
        <w:t>依托森林、林地及其生态环境，</w:t>
      </w:r>
      <w:r>
        <w:rPr>
          <w:rFonts w:hint="eastAsia" w:ascii="仿宋_GB2312" w:hAnsi="仿宋_GB2312" w:eastAsia="仿宋_GB2312" w:cs="仿宋_GB2312"/>
          <w:i w:val="0"/>
          <w:iCs w:val="0"/>
          <w:caps w:val="0"/>
          <w:spacing w:val="0"/>
          <w:kern w:val="21"/>
          <w:sz w:val="32"/>
          <w:szCs w:val="32"/>
          <w:shd w:val="clear"/>
          <w:lang w:val="en-US" w:eastAsia="zh-CN" w:bidi="ar"/>
        </w:rPr>
        <w:t>发展</w:t>
      </w:r>
      <w:r>
        <w:rPr>
          <w:rFonts w:hint="default" w:ascii="仿宋_GB2312" w:hAnsi="仿宋_GB2312" w:eastAsia="仿宋_GB2312" w:cs="仿宋_GB2312"/>
          <w:i w:val="0"/>
          <w:iCs w:val="0"/>
          <w:caps w:val="0"/>
          <w:color w:val="auto"/>
          <w:spacing w:val="0"/>
          <w:kern w:val="21"/>
          <w:sz w:val="32"/>
          <w:szCs w:val="32"/>
          <w:shd w:val="clear" w:fill="auto"/>
          <w:lang w:val="en-US" w:eastAsia="zh-CN" w:bidi="ar"/>
        </w:rPr>
        <w:t>林下种植、林下养殖、相关产品采集加工、森林景观利用等</w:t>
      </w:r>
      <w:r>
        <w:rPr>
          <w:rFonts w:hint="default" w:ascii="仿宋_GB2312" w:hAnsi="仿宋_GB2312" w:eastAsia="仿宋_GB2312" w:cs="仿宋_GB2312"/>
          <w:i w:val="0"/>
          <w:iCs w:val="0"/>
          <w:caps w:val="0"/>
          <w:spacing w:val="0"/>
          <w:kern w:val="21"/>
          <w:sz w:val="32"/>
          <w:szCs w:val="32"/>
          <w:shd w:val="clear"/>
          <w:lang w:val="en-US" w:eastAsia="zh-CN" w:bidi="ar"/>
        </w:rPr>
        <w:t>生态友好型经济</w:t>
      </w:r>
      <w:r>
        <w:rPr>
          <w:rFonts w:hint="default" w:ascii="仿宋_GB2312" w:hAnsi="仿宋_GB2312" w:eastAsia="仿宋_GB2312" w:cs="仿宋_GB2312"/>
          <w:i w:val="0"/>
          <w:iCs w:val="0"/>
          <w:caps w:val="0"/>
          <w:color w:val="auto"/>
          <w:spacing w:val="0"/>
          <w:kern w:val="21"/>
          <w:sz w:val="32"/>
          <w:szCs w:val="32"/>
          <w:shd w:val="clear" w:fill="auto"/>
          <w:lang w:val="en-US" w:eastAsia="zh-CN" w:bidi="ar"/>
        </w:rPr>
        <w:t>。</w:t>
      </w:r>
    </w:p>
    <w:p w14:paraId="1CED1782">
      <w:pPr>
        <w:keepNext w:val="0"/>
        <w:keepLines w:val="0"/>
        <w:pageBreakBefore w:val="0"/>
        <w:widowControl w:val="0"/>
        <w:kinsoku/>
        <w:wordWrap/>
        <w:overflowPunct w:val="0"/>
        <w:topLinePunct/>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1"/>
          <w:sz w:val="32"/>
          <w:szCs w:val="32"/>
        </w:rPr>
      </w:pPr>
      <w:r>
        <w:rPr>
          <w:rFonts w:hint="eastAsia" w:ascii="黑体" w:hAnsi="黑体" w:eastAsia="黑体" w:cs="黑体"/>
          <w:kern w:val="21"/>
          <w:sz w:val="32"/>
          <w:szCs w:val="32"/>
        </w:rPr>
        <w:t>两心、两廊、三链、四区：</w:t>
      </w:r>
      <w:r>
        <w:rPr>
          <w:rFonts w:hint="eastAsia" w:ascii="仿宋_GB2312" w:hAnsi="仿宋_GB2312" w:eastAsia="仿宋_GB2312" w:cs="仿宋_GB2312"/>
          <w:kern w:val="21"/>
          <w:sz w:val="32"/>
          <w:szCs w:val="32"/>
        </w:rPr>
        <w:t>太湖生态核心、元荡生态绿心；太浦河生态绿廊、京杭运河生态绿廊；北部蓝色珠链、中部蓝色珠链、南部蓝色珠链；大湖区、溇港区、湖荡区、河网区四类生态片区。</w:t>
      </w:r>
    </w:p>
    <w:p w14:paraId="32FF6CCC">
      <w:pPr>
        <w:keepNext w:val="0"/>
        <w:keepLines w:val="0"/>
        <w:pageBreakBefore w:val="0"/>
        <w:widowControl w:val="0"/>
        <w:kinsoku/>
        <w:wordWrap/>
        <w:overflowPunct w:val="0"/>
        <w:topLinePunct/>
        <w:autoSpaceDE/>
        <w:autoSpaceDN/>
        <w:bidi w:val="0"/>
        <w:adjustRightInd/>
        <w:snapToGrid/>
        <w:spacing w:line="560" w:lineRule="exact"/>
        <w:ind w:firstLine="640" w:firstLineChars="200"/>
        <w:jc w:val="both"/>
        <w:textAlignment w:val="auto"/>
        <w:rPr>
          <w:rFonts w:hint="eastAsia" w:ascii="黑体" w:hAnsi="黑体" w:eastAsia="黑体" w:cs="黑体"/>
          <w:kern w:val="21"/>
          <w:sz w:val="32"/>
          <w:szCs w:val="32"/>
        </w:rPr>
      </w:pPr>
      <w:r>
        <w:rPr>
          <w:rFonts w:hint="eastAsia" w:ascii="黑体" w:hAnsi="黑体" w:eastAsia="黑体" w:cs="黑体"/>
          <w:kern w:val="21"/>
          <w:sz w:val="32"/>
          <w:szCs w:val="32"/>
          <w:lang w:eastAsia="zh-Hans"/>
        </w:rPr>
        <w:t>三带六区</w:t>
      </w:r>
      <w:r>
        <w:rPr>
          <w:rFonts w:hint="eastAsia" w:ascii="黑体" w:hAnsi="黑体" w:eastAsia="黑体" w:cs="黑体"/>
          <w:kern w:val="21"/>
          <w:sz w:val="32"/>
          <w:szCs w:val="32"/>
        </w:rPr>
        <w:t>：</w:t>
      </w:r>
      <w:r>
        <w:rPr>
          <w:rFonts w:hint="eastAsia" w:ascii="仿宋_GB2312" w:eastAsia="仿宋_GB2312"/>
          <w:kern w:val="21"/>
          <w:sz w:val="32"/>
          <w:szCs w:val="32"/>
        </w:rPr>
        <w:t>太湖流域生态文化修复带、大运河流域生态文化修复带、太浦河流域生态文化修复带；环太湖产城融合绿色发展型整治区、环元荡产城融合绿色发展型整治区、环北麻漾产城融合绿色发展型整治区、环澄湖乡村振兴农文旅融合型整治区、环长漾乡村振兴农文旅融合型整治区、环沈庄漾乡村振兴农文旅融合型整治区。</w:t>
      </w:r>
    </w:p>
    <w:p w14:paraId="2FC8044F">
      <w:pPr>
        <w:keepNext w:val="0"/>
        <w:keepLines w:val="0"/>
        <w:pageBreakBefore w:val="0"/>
        <w:widowControl w:val="0"/>
        <w:kinsoku/>
        <w:wordWrap/>
        <w:overflowPunct w:val="0"/>
        <w:topLinePunct/>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1"/>
          <w:sz w:val="32"/>
          <w:szCs w:val="32"/>
        </w:rPr>
      </w:pPr>
      <w:r>
        <w:rPr>
          <w:rFonts w:hint="eastAsia" w:ascii="黑体" w:hAnsi="黑体" w:eastAsia="黑体" w:cs="黑体"/>
          <w:kern w:val="21"/>
          <w:sz w:val="32"/>
          <w:szCs w:val="32"/>
        </w:rPr>
        <w:t>立审执破：</w:t>
      </w:r>
      <w:r>
        <w:rPr>
          <w:rFonts w:hint="eastAsia" w:ascii="仿宋_GB2312" w:hAnsi="仿宋_GB2312" w:eastAsia="仿宋_GB2312" w:cs="仿宋_GB2312"/>
          <w:kern w:val="21"/>
          <w:sz w:val="32"/>
          <w:szCs w:val="32"/>
        </w:rPr>
        <w:t>立案、审理、执行程序与破产程序。</w:t>
      </w:r>
    </w:p>
    <w:p w14:paraId="0C8E9394">
      <w:pPr>
        <w:keepNext w:val="0"/>
        <w:keepLines w:val="0"/>
        <w:pageBreakBefore w:val="0"/>
        <w:widowControl w:val="0"/>
        <w:kinsoku/>
        <w:wordWrap/>
        <w:overflowPunct w:val="0"/>
        <w:topLinePunct/>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eastAsia="zh-CN"/>
        </w:rPr>
      </w:pPr>
      <w:r>
        <w:rPr>
          <w:rFonts w:hint="eastAsia" w:ascii="黑体" w:hAnsi="黑体" w:eastAsia="黑体" w:cs="黑体"/>
          <w:kern w:val="21"/>
          <w:sz w:val="32"/>
          <w:szCs w:val="32"/>
          <w:highlight w:val="none"/>
          <w:lang w:val="en-US" w:eastAsia="zh-CN"/>
        </w:rPr>
        <w:t>“3+3”</w:t>
      </w:r>
      <w:r>
        <w:rPr>
          <w:rFonts w:hint="eastAsia" w:ascii="黑体" w:hAnsi="黑体" w:eastAsia="黑体" w:cs="黑体"/>
          <w:kern w:val="21"/>
          <w:sz w:val="32"/>
          <w:szCs w:val="32"/>
          <w:highlight w:val="none"/>
        </w:rPr>
        <w:t>队伍</w:t>
      </w:r>
      <w:r>
        <w:rPr>
          <w:rFonts w:hint="eastAsia" w:ascii="仿宋_GB2312" w:hAnsi="仿宋_GB2312" w:eastAsia="仿宋_GB2312" w:cs="仿宋_GB2312"/>
          <w:kern w:val="21"/>
          <w:sz w:val="32"/>
          <w:szCs w:val="32"/>
          <w:highlight w:val="none"/>
        </w:rPr>
        <w:t>：</w:t>
      </w:r>
      <w:r>
        <w:rPr>
          <w:rFonts w:hint="eastAsia" w:ascii="仿宋_GB2312" w:hAnsi="仿宋_GB2312" w:eastAsia="仿宋_GB2312" w:cs="仿宋_GB2312"/>
          <w:kern w:val="21"/>
          <w:sz w:val="32"/>
          <w:szCs w:val="32"/>
          <w:highlight w:val="none"/>
          <w:lang w:val="en-US" w:eastAsia="zh-CN"/>
        </w:rPr>
        <w:t>旧三支队伍为</w:t>
      </w:r>
      <w:r>
        <w:rPr>
          <w:rFonts w:hint="eastAsia" w:ascii="仿宋_GB2312" w:hAnsi="仿宋_GB2312" w:eastAsia="仿宋_GB2312" w:cs="仿宋_GB2312"/>
          <w:kern w:val="21"/>
          <w:sz w:val="32"/>
          <w:szCs w:val="32"/>
        </w:rPr>
        <w:t>镇（街道）党（工）委书记、派出所所长、村（社区）党组织书记</w:t>
      </w:r>
      <w:r>
        <w:rPr>
          <w:rFonts w:hint="eastAsia" w:ascii="仿宋_GB2312" w:hAnsi="仿宋_GB2312" w:eastAsia="仿宋_GB2312" w:cs="仿宋_GB2312"/>
          <w:kern w:val="21"/>
          <w:sz w:val="32"/>
          <w:szCs w:val="32"/>
          <w:lang w:eastAsia="zh-CN"/>
        </w:rPr>
        <w:t>，</w:t>
      </w:r>
      <w:r>
        <w:rPr>
          <w:rFonts w:hint="eastAsia" w:ascii="仿宋_GB2312" w:hAnsi="仿宋_GB2312" w:eastAsia="仿宋_GB2312" w:cs="仿宋_GB2312"/>
          <w:kern w:val="21"/>
          <w:sz w:val="32"/>
          <w:szCs w:val="32"/>
          <w:lang w:val="en-US" w:eastAsia="zh-CN"/>
        </w:rPr>
        <w:t>新三支队伍为辅警、网格员、调解员</w:t>
      </w:r>
      <w:r>
        <w:rPr>
          <w:rFonts w:hint="eastAsia" w:ascii="仿宋_GB2312" w:hAnsi="仿宋_GB2312" w:eastAsia="仿宋_GB2312" w:cs="仿宋_GB2312"/>
          <w:kern w:val="21"/>
          <w:sz w:val="32"/>
          <w:szCs w:val="32"/>
        </w:rPr>
        <w:t>。</w:t>
      </w:r>
    </w:p>
    <w:sectPr>
      <w:pgSz w:w="11906" w:h="16838"/>
      <w:pgMar w:top="1928" w:right="1531" w:bottom="1701" w:left="1531" w:header="0" w:footer="992" w:gutter="0"/>
      <w:pgNumType w:fmt="decimal"/>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B0B2D9E4-3E41-4165-9D8F-C256E710891D}"/>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261D08AA-B5A7-45AD-89E3-5071F208503F}"/>
  </w:font>
  <w:font w:name="楷体_GB2312">
    <w:panose1 w:val="02010609030101010101"/>
    <w:charset w:val="86"/>
    <w:family w:val="modern"/>
    <w:pitch w:val="default"/>
    <w:sig w:usb0="00000001" w:usb1="080E0000" w:usb2="00000000" w:usb3="00000000" w:csb0="00040000" w:csb1="00000000"/>
    <w:embedRegular r:id="rId3" w:fontKey="{4D061F7A-E45A-42CC-A464-EF235B13348B}"/>
  </w:font>
  <w:font w:name="仿宋_GB2312">
    <w:panose1 w:val="02010609030101010101"/>
    <w:charset w:val="86"/>
    <w:family w:val="modern"/>
    <w:pitch w:val="default"/>
    <w:sig w:usb0="00000001" w:usb1="080E0000" w:usb2="00000000" w:usb3="00000000" w:csb0="00040000" w:csb1="00000000"/>
    <w:embedRegular r:id="rId4" w:fontKey="{EA0D1F4B-D579-421C-94D1-72E218F92254}"/>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embedRegular r:id="rId5" w:fontKey="{BDD20FC0-2007-4A78-8C75-DF1EABA53B7C}"/>
  </w:font>
  <w:font w:name="方正小标宋_GBK">
    <w:panose1 w:val="03000509000000000000"/>
    <w:charset w:val="86"/>
    <w:family w:val="auto"/>
    <w:pitch w:val="default"/>
    <w:sig w:usb0="00000001" w:usb1="080E0000" w:usb2="00000000" w:usb3="00000000" w:csb0="00040000" w:csb1="00000000"/>
    <w:embedRegular r:id="rId6" w:fontKey="{2FA66A53-9345-438E-BC4E-755B5B9D90F7}"/>
  </w:font>
  <w:font w:name="微软雅黑">
    <w:panose1 w:val="020B0503020204020204"/>
    <w:charset w:val="86"/>
    <w:family w:val="swiss"/>
    <w:pitch w:val="default"/>
    <w:sig w:usb0="80000287" w:usb1="2ACF3C50" w:usb2="00000016" w:usb3="00000000" w:csb0="0004001F" w:csb1="00000000"/>
    <w:embedRegular r:id="rId7" w:fontKey="{5A46C32D-DCAB-4364-8128-B6006F6910D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19EFA5">
    <w:pPr>
      <w:pStyle w:val="1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00237C">
    <w:pPr>
      <w:pStyle w:val="15"/>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3" name="文本框 2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43DB7128">
                          <w:pPr>
                            <w:pStyle w:val="15"/>
                            <w:rPr>
                              <w:rFonts w:hint="default" w:ascii="Times New Roman" w:hAnsi="Times New Roman" w:eastAsia="宋体" w:cs="Times New Roman"/>
                              <w:sz w:val="21"/>
                              <w:szCs w:val="21"/>
                            </w:rPr>
                          </w:pPr>
                          <w:r>
                            <w:rPr>
                              <w:rFonts w:hint="default" w:ascii="Times New Roman" w:hAnsi="Times New Roman" w:eastAsia="宋体" w:cs="Times New Roman"/>
                              <w:sz w:val="21"/>
                              <w:szCs w:val="21"/>
                            </w:rPr>
                            <w:fldChar w:fldCharType="begin"/>
                          </w:r>
                          <w:r>
                            <w:rPr>
                              <w:rFonts w:hint="default" w:ascii="Times New Roman" w:hAnsi="Times New Roman" w:eastAsia="宋体" w:cs="Times New Roman"/>
                              <w:sz w:val="21"/>
                              <w:szCs w:val="21"/>
                            </w:rPr>
                            <w:instrText xml:space="preserve"> PAGE  \* MERGEFORMAT </w:instrText>
                          </w:r>
                          <w:r>
                            <w:rPr>
                              <w:rFonts w:hint="default" w:ascii="Times New Roman" w:hAnsi="Times New Roman" w:eastAsia="宋体" w:cs="Times New Roman"/>
                              <w:sz w:val="21"/>
                              <w:szCs w:val="21"/>
                            </w:rPr>
                            <w:fldChar w:fldCharType="separate"/>
                          </w:r>
                          <w:r>
                            <w:rPr>
                              <w:rFonts w:hint="default" w:ascii="Times New Roman" w:hAnsi="Times New Roman" w:eastAsia="宋体" w:cs="Times New Roman"/>
                              <w:sz w:val="21"/>
                              <w:szCs w:val="21"/>
                            </w:rPr>
                            <w:t>3</w:t>
                          </w:r>
                          <w:r>
                            <w:rPr>
                              <w:rFonts w:hint="default" w:ascii="Times New Roman" w:hAnsi="Times New Roman" w:eastAsia="宋体" w:cs="Times New Roman"/>
                              <w:sz w:val="21"/>
                              <w:szCs w:val="21"/>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Ch+NUMzAgAAZQQAAA4AAAAAAAAAAQAgAAAAHwEAAGRycy9lMm9Eb2MueG1sUEsF&#10;BgAAAAAGAAYAWQEAAMQFAAAAAA==&#10;">
              <v:fill on="f" focussize="0,0"/>
              <v:stroke on="f" weight="0.5pt"/>
              <v:imagedata o:title=""/>
              <o:lock v:ext="edit" aspectratio="f"/>
              <v:textbox inset="0mm,0mm,0mm,0mm" style="mso-fit-shape-to-text:t;">
                <w:txbxContent>
                  <w:p w14:paraId="43DB7128">
                    <w:pPr>
                      <w:pStyle w:val="15"/>
                      <w:rPr>
                        <w:rFonts w:hint="default" w:ascii="Times New Roman" w:hAnsi="Times New Roman" w:eastAsia="宋体" w:cs="Times New Roman"/>
                        <w:sz w:val="21"/>
                        <w:szCs w:val="21"/>
                      </w:rPr>
                    </w:pPr>
                    <w:r>
                      <w:rPr>
                        <w:rFonts w:hint="default" w:ascii="Times New Roman" w:hAnsi="Times New Roman" w:eastAsia="宋体" w:cs="Times New Roman"/>
                        <w:sz w:val="21"/>
                        <w:szCs w:val="21"/>
                      </w:rPr>
                      <w:fldChar w:fldCharType="begin"/>
                    </w:r>
                    <w:r>
                      <w:rPr>
                        <w:rFonts w:hint="default" w:ascii="Times New Roman" w:hAnsi="Times New Roman" w:eastAsia="宋体" w:cs="Times New Roman"/>
                        <w:sz w:val="21"/>
                        <w:szCs w:val="21"/>
                      </w:rPr>
                      <w:instrText xml:space="preserve"> PAGE  \* MERGEFORMAT </w:instrText>
                    </w:r>
                    <w:r>
                      <w:rPr>
                        <w:rFonts w:hint="default" w:ascii="Times New Roman" w:hAnsi="Times New Roman" w:eastAsia="宋体" w:cs="Times New Roman"/>
                        <w:sz w:val="21"/>
                        <w:szCs w:val="21"/>
                      </w:rPr>
                      <w:fldChar w:fldCharType="separate"/>
                    </w:r>
                    <w:r>
                      <w:rPr>
                        <w:rFonts w:hint="default" w:ascii="Times New Roman" w:hAnsi="Times New Roman" w:eastAsia="宋体" w:cs="Times New Roman"/>
                        <w:sz w:val="21"/>
                        <w:szCs w:val="21"/>
                      </w:rPr>
                      <w:t>3</w:t>
                    </w:r>
                    <w:r>
                      <w:rPr>
                        <w:rFonts w:hint="default" w:ascii="Times New Roman" w:hAnsi="Times New Roman" w:eastAsia="宋体" w:cs="Times New Roman"/>
                        <w:sz w:val="21"/>
                        <w:szCs w:val="21"/>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8F6532C"/>
    <w:rsid w:val="00037BB6"/>
    <w:rsid w:val="00063134"/>
    <w:rsid w:val="000A79A2"/>
    <w:rsid w:val="000B6349"/>
    <w:rsid w:val="000F3CCE"/>
    <w:rsid w:val="0013411F"/>
    <w:rsid w:val="00147A28"/>
    <w:rsid w:val="001542E1"/>
    <w:rsid w:val="00156A2F"/>
    <w:rsid w:val="00243618"/>
    <w:rsid w:val="002521DD"/>
    <w:rsid w:val="002B65DA"/>
    <w:rsid w:val="002C42FD"/>
    <w:rsid w:val="002D3FF2"/>
    <w:rsid w:val="00306254"/>
    <w:rsid w:val="00331D02"/>
    <w:rsid w:val="00342313"/>
    <w:rsid w:val="00384B9C"/>
    <w:rsid w:val="00396D7D"/>
    <w:rsid w:val="003B0418"/>
    <w:rsid w:val="003B6D45"/>
    <w:rsid w:val="003C0EE6"/>
    <w:rsid w:val="003E23B1"/>
    <w:rsid w:val="003F6FC3"/>
    <w:rsid w:val="004052D2"/>
    <w:rsid w:val="00406A41"/>
    <w:rsid w:val="00445A7C"/>
    <w:rsid w:val="004474AD"/>
    <w:rsid w:val="004813A5"/>
    <w:rsid w:val="004F51C0"/>
    <w:rsid w:val="005328BE"/>
    <w:rsid w:val="00584682"/>
    <w:rsid w:val="0059110A"/>
    <w:rsid w:val="005A717D"/>
    <w:rsid w:val="005B4DF4"/>
    <w:rsid w:val="005E1FAE"/>
    <w:rsid w:val="005E6314"/>
    <w:rsid w:val="00601B63"/>
    <w:rsid w:val="006B112E"/>
    <w:rsid w:val="006C0CD4"/>
    <w:rsid w:val="00705964"/>
    <w:rsid w:val="00756EE7"/>
    <w:rsid w:val="00780251"/>
    <w:rsid w:val="007C3CE1"/>
    <w:rsid w:val="007C62B2"/>
    <w:rsid w:val="007D4A3F"/>
    <w:rsid w:val="00803A14"/>
    <w:rsid w:val="00833909"/>
    <w:rsid w:val="008C3B5D"/>
    <w:rsid w:val="00957F1B"/>
    <w:rsid w:val="0097559E"/>
    <w:rsid w:val="00984D15"/>
    <w:rsid w:val="009A2BC4"/>
    <w:rsid w:val="009C593F"/>
    <w:rsid w:val="00A046A9"/>
    <w:rsid w:val="00A16E0C"/>
    <w:rsid w:val="00A43155"/>
    <w:rsid w:val="00A75AC8"/>
    <w:rsid w:val="00A801F2"/>
    <w:rsid w:val="00A80820"/>
    <w:rsid w:val="00A85728"/>
    <w:rsid w:val="00AB36BE"/>
    <w:rsid w:val="00AC415B"/>
    <w:rsid w:val="00AE70CE"/>
    <w:rsid w:val="00B162BE"/>
    <w:rsid w:val="00B54F9C"/>
    <w:rsid w:val="00B62C8A"/>
    <w:rsid w:val="00B817DC"/>
    <w:rsid w:val="00C007C5"/>
    <w:rsid w:val="00C600AD"/>
    <w:rsid w:val="00C967D6"/>
    <w:rsid w:val="00CE0A60"/>
    <w:rsid w:val="00D031BA"/>
    <w:rsid w:val="00D27D3B"/>
    <w:rsid w:val="00D57CE9"/>
    <w:rsid w:val="00D77928"/>
    <w:rsid w:val="00D77CAD"/>
    <w:rsid w:val="00DD4567"/>
    <w:rsid w:val="00DF3F5D"/>
    <w:rsid w:val="00E06FA7"/>
    <w:rsid w:val="00E122AD"/>
    <w:rsid w:val="00E42C03"/>
    <w:rsid w:val="00E66107"/>
    <w:rsid w:val="00E74408"/>
    <w:rsid w:val="00E806E0"/>
    <w:rsid w:val="00E972AC"/>
    <w:rsid w:val="00EA40E8"/>
    <w:rsid w:val="00EB570A"/>
    <w:rsid w:val="00ED05E3"/>
    <w:rsid w:val="00ED7AD7"/>
    <w:rsid w:val="00EE0F95"/>
    <w:rsid w:val="00EE5C81"/>
    <w:rsid w:val="00F41CAA"/>
    <w:rsid w:val="00F622A7"/>
    <w:rsid w:val="00F64294"/>
    <w:rsid w:val="00F83140"/>
    <w:rsid w:val="00F907CF"/>
    <w:rsid w:val="00FB037E"/>
    <w:rsid w:val="00FB378B"/>
    <w:rsid w:val="00FC1358"/>
    <w:rsid w:val="00FC5039"/>
    <w:rsid w:val="00FE4E41"/>
    <w:rsid w:val="014001AC"/>
    <w:rsid w:val="0147778C"/>
    <w:rsid w:val="014903A9"/>
    <w:rsid w:val="0164088E"/>
    <w:rsid w:val="01851196"/>
    <w:rsid w:val="01AE15BA"/>
    <w:rsid w:val="01B56C27"/>
    <w:rsid w:val="01C55775"/>
    <w:rsid w:val="01C631F6"/>
    <w:rsid w:val="01C963F3"/>
    <w:rsid w:val="01D07389"/>
    <w:rsid w:val="01D1263B"/>
    <w:rsid w:val="01D24A8A"/>
    <w:rsid w:val="01D32DCE"/>
    <w:rsid w:val="01F1255F"/>
    <w:rsid w:val="01FC03B8"/>
    <w:rsid w:val="02072A78"/>
    <w:rsid w:val="0211291E"/>
    <w:rsid w:val="022E51A4"/>
    <w:rsid w:val="023D413A"/>
    <w:rsid w:val="0250315A"/>
    <w:rsid w:val="025C1016"/>
    <w:rsid w:val="025E237E"/>
    <w:rsid w:val="02661A7B"/>
    <w:rsid w:val="028A0EAC"/>
    <w:rsid w:val="02A62291"/>
    <w:rsid w:val="02AE55E9"/>
    <w:rsid w:val="02AE56F2"/>
    <w:rsid w:val="02AF3E19"/>
    <w:rsid w:val="02B7449E"/>
    <w:rsid w:val="02BC028B"/>
    <w:rsid w:val="02BF3353"/>
    <w:rsid w:val="02CA5022"/>
    <w:rsid w:val="02DF1744"/>
    <w:rsid w:val="02E90F3A"/>
    <w:rsid w:val="02E96621"/>
    <w:rsid w:val="02F6136A"/>
    <w:rsid w:val="032559B3"/>
    <w:rsid w:val="03265180"/>
    <w:rsid w:val="03295C41"/>
    <w:rsid w:val="032D3A42"/>
    <w:rsid w:val="032D3AAD"/>
    <w:rsid w:val="033A0B59"/>
    <w:rsid w:val="034C108A"/>
    <w:rsid w:val="035241C7"/>
    <w:rsid w:val="036C6DAA"/>
    <w:rsid w:val="03907968"/>
    <w:rsid w:val="0395216D"/>
    <w:rsid w:val="03A04F32"/>
    <w:rsid w:val="03A964DC"/>
    <w:rsid w:val="03B81428"/>
    <w:rsid w:val="03C71A42"/>
    <w:rsid w:val="03CC5D27"/>
    <w:rsid w:val="03D83EDB"/>
    <w:rsid w:val="03DC2C52"/>
    <w:rsid w:val="03E125EC"/>
    <w:rsid w:val="03FB2A2B"/>
    <w:rsid w:val="04030F36"/>
    <w:rsid w:val="04073203"/>
    <w:rsid w:val="04252CCB"/>
    <w:rsid w:val="04312930"/>
    <w:rsid w:val="04392C7B"/>
    <w:rsid w:val="043B4C5B"/>
    <w:rsid w:val="045E1BB5"/>
    <w:rsid w:val="046B19E4"/>
    <w:rsid w:val="046C5C2A"/>
    <w:rsid w:val="0475505E"/>
    <w:rsid w:val="04822175"/>
    <w:rsid w:val="04845678"/>
    <w:rsid w:val="048900BC"/>
    <w:rsid w:val="04934A97"/>
    <w:rsid w:val="04A14C29"/>
    <w:rsid w:val="04A5362F"/>
    <w:rsid w:val="04A80D30"/>
    <w:rsid w:val="04A92035"/>
    <w:rsid w:val="04B533F9"/>
    <w:rsid w:val="04BF0955"/>
    <w:rsid w:val="04BF3ADE"/>
    <w:rsid w:val="04C46A68"/>
    <w:rsid w:val="04C80FAA"/>
    <w:rsid w:val="04C837E3"/>
    <w:rsid w:val="04D23811"/>
    <w:rsid w:val="04D95366"/>
    <w:rsid w:val="04FF3EDA"/>
    <w:rsid w:val="051F15AE"/>
    <w:rsid w:val="051F442B"/>
    <w:rsid w:val="0520643B"/>
    <w:rsid w:val="0521288B"/>
    <w:rsid w:val="05215177"/>
    <w:rsid w:val="054364BD"/>
    <w:rsid w:val="054B5371"/>
    <w:rsid w:val="055B424C"/>
    <w:rsid w:val="055E085F"/>
    <w:rsid w:val="05821D18"/>
    <w:rsid w:val="05856AD5"/>
    <w:rsid w:val="05B61F6F"/>
    <w:rsid w:val="05BD667A"/>
    <w:rsid w:val="05C52816"/>
    <w:rsid w:val="05CA098C"/>
    <w:rsid w:val="05DC421B"/>
    <w:rsid w:val="05E61E29"/>
    <w:rsid w:val="05E74E14"/>
    <w:rsid w:val="05FB6F31"/>
    <w:rsid w:val="0619570F"/>
    <w:rsid w:val="062A115B"/>
    <w:rsid w:val="06345E06"/>
    <w:rsid w:val="063A14C7"/>
    <w:rsid w:val="063E6DCF"/>
    <w:rsid w:val="064222D0"/>
    <w:rsid w:val="06542070"/>
    <w:rsid w:val="065546FA"/>
    <w:rsid w:val="06572FF5"/>
    <w:rsid w:val="06691F53"/>
    <w:rsid w:val="0677742C"/>
    <w:rsid w:val="067F1BC4"/>
    <w:rsid w:val="069353D8"/>
    <w:rsid w:val="06D3561E"/>
    <w:rsid w:val="070112A3"/>
    <w:rsid w:val="071D7091"/>
    <w:rsid w:val="072365A6"/>
    <w:rsid w:val="072C64D0"/>
    <w:rsid w:val="07506A90"/>
    <w:rsid w:val="0753050D"/>
    <w:rsid w:val="07567BE0"/>
    <w:rsid w:val="07684137"/>
    <w:rsid w:val="0774295E"/>
    <w:rsid w:val="07837045"/>
    <w:rsid w:val="07B05960"/>
    <w:rsid w:val="07BE62CF"/>
    <w:rsid w:val="07CD605A"/>
    <w:rsid w:val="07D258D6"/>
    <w:rsid w:val="07F20818"/>
    <w:rsid w:val="08071A24"/>
    <w:rsid w:val="0808754A"/>
    <w:rsid w:val="080A1514"/>
    <w:rsid w:val="081467CE"/>
    <w:rsid w:val="081751D4"/>
    <w:rsid w:val="08272C43"/>
    <w:rsid w:val="08273E74"/>
    <w:rsid w:val="082B63F3"/>
    <w:rsid w:val="083002FD"/>
    <w:rsid w:val="083168C6"/>
    <w:rsid w:val="08352586"/>
    <w:rsid w:val="08375250"/>
    <w:rsid w:val="084C38DA"/>
    <w:rsid w:val="086C1BEB"/>
    <w:rsid w:val="08814C04"/>
    <w:rsid w:val="08BF0E65"/>
    <w:rsid w:val="08EB0B1D"/>
    <w:rsid w:val="08F96990"/>
    <w:rsid w:val="09002F54"/>
    <w:rsid w:val="09060B0B"/>
    <w:rsid w:val="0910796B"/>
    <w:rsid w:val="091308EF"/>
    <w:rsid w:val="091E2504"/>
    <w:rsid w:val="09292A93"/>
    <w:rsid w:val="092A3D98"/>
    <w:rsid w:val="09300B06"/>
    <w:rsid w:val="09413E70"/>
    <w:rsid w:val="09440A55"/>
    <w:rsid w:val="094D3053"/>
    <w:rsid w:val="09556D4B"/>
    <w:rsid w:val="09644C54"/>
    <w:rsid w:val="09731B57"/>
    <w:rsid w:val="09750C0F"/>
    <w:rsid w:val="09786095"/>
    <w:rsid w:val="098147A7"/>
    <w:rsid w:val="09887494"/>
    <w:rsid w:val="099265B1"/>
    <w:rsid w:val="099866AB"/>
    <w:rsid w:val="09AC306C"/>
    <w:rsid w:val="09F204B1"/>
    <w:rsid w:val="0A002AF6"/>
    <w:rsid w:val="0A12645E"/>
    <w:rsid w:val="0A171C4C"/>
    <w:rsid w:val="0A1914A2"/>
    <w:rsid w:val="0A1E4E03"/>
    <w:rsid w:val="0A20096D"/>
    <w:rsid w:val="0A2574B3"/>
    <w:rsid w:val="0A277E6B"/>
    <w:rsid w:val="0A4E4195"/>
    <w:rsid w:val="0A5C1B8B"/>
    <w:rsid w:val="0A60541B"/>
    <w:rsid w:val="0A6E63E9"/>
    <w:rsid w:val="0A7E1D45"/>
    <w:rsid w:val="0A8627B7"/>
    <w:rsid w:val="0A8C26DA"/>
    <w:rsid w:val="0A8F5D00"/>
    <w:rsid w:val="0AA95014"/>
    <w:rsid w:val="0ACA6D38"/>
    <w:rsid w:val="0AD96F7B"/>
    <w:rsid w:val="0ADB2250"/>
    <w:rsid w:val="0AE20526"/>
    <w:rsid w:val="0AF142C5"/>
    <w:rsid w:val="0AFC3C93"/>
    <w:rsid w:val="0B0645A2"/>
    <w:rsid w:val="0B3C19E4"/>
    <w:rsid w:val="0B724F56"/>
    <w:rsid w:val="0B8F6A85"/>
    <w:rsid w:val="0B9730BE"/>
    <w:rsid w:val="0BA06642"/>
    <w:rsid w:val="0BA70F15"/>
    <w:rsid w:val="0BB579E9"/>
    <w:rsid w:val="0BBD62CF"/>
    <w:rsid w:val="0BBF43C3"/>
    <w:rsid w:val="0BE92617"/>
    <w:rsid w:val="0C197427"/>
    <w:rsid w:val="0C1D53EF"/>
    <w:rsid w:val="0C501CCE"/>
    <w:rsid w:val="0C5A3BCF"/>
    <w:rsid w:val="0C5C1C12"/>
    <w:rsid w:val="0C60355A"/>
    <w:rsid w:val="0C6555BA"/>
    <w:rsid w:val="0C71390F"/>
    <w:rsid w:val="0C724AF9"/>
    <w:rsid w:val="0C7E1F26"/>
    <w:rsid w:val="0C815114"/>
    <w:rsid w:val="0C8278CB"/>
    <w:rsid w:val="0C9434E6"/>
    <w:rsid w:val="0CA84E57"/>
    <w:rsid w:val="0D0F5C7C"/>
    <w:rsid w:val="0D1809B4"/>
    <w:rsid w:val="0D1D4F92"/>
    <w:rsid w:val="0D1E5CB6"/>
    <w:rsid w:val="0D28745D"/>
    <w:rsid w:val="0D352639"/>
    <w:rsid w:val="0D4B47DC"/>
    <w:rsid w:val="0D501777"/>
    <w:rsid w:val="0D5450EC"/>
    <w:rsid w:val="0D821B4C"/>
    <w:rsid w:val="0D9773A6"/>
    <w:rsid w:val="0DA6583B"/>
    <w:rsid w:val="0DB63E8C"/>
    <w:rsid w:val="0DBF68FD"/>
    <w:rsid w:val="0DF33CF1"/>
    <w:rsid w:val="0E0F33E0"/>
    <w:rsid w:val="0E1053AA"/>
    <w:rsid w:val="0E213113"/>
    <w:rsid w:val="0E303356"/>
    <w:rsid w:val="0E347FDD"/>
    <w:rsid w:val="0E437A09"/>
    <w:rsid w:val="0E4F7C80"/>
    <w:rsid w:val="0E8A6F0A"/>
    <w:rsid w:val="0E914AF4"/>
    <w:rsid w:val="0E960F7B"/>
    <w:rsid w:val="0EA43B14"/>
    <w:rsid w:val="0EA74A99"/>
    <w:rsid w:val="0F024CF3"/>
    <w:rsid w:val="0F0A34B9"/>
    <w:rsid w:val="0F0D5446"/>
    <w:rsid w:val="0F0F5770"/>
    <w:rsid w:val="0F0F7057"/>
    <w:rsid w:val="0F1E59DC"/>
    <w:rsid w:val="0F22295F"/>
    <w:rsid w:val="0F264FE7"/>
    <w:rsid w:val="0F3D2A0E"/>
    <w:rsid w:val="0F483F12"/>
    <w:rsid w:val="0F6676E4"/>
    <w:rsid w:val="0F794DF1"/>
    <w:rsid w:val="0F845381"/>
    <w:rsid w:val="0F931DEF"/>
    <w:rsid w:val="0FB00BF3"/>
    <w:rsid w:val="0FBF4992"/>
    <w:rsid w:val="0FFA33CC"/>
    <w:rsid w:val="10014FAA"/>
    <w:rsid w:val="10211D87"/>
    <w:rsid w:val="10264A11"/>
    <w:rsid w:val="10383F2B"/>
    <w:rsid w:val="106501B4"/>
    <w:rsid w:val="106D0892"/>
    <w:rsid w:val="1077526D"/>
    <w:rsid w:val="107B7E97"/>
    <w:rsid w:val="108D3382"/>
    <w:rsid w:val="10997447"/>
    <w:rsid w:val="10A06571"/>
    <w:rsid w:val="10B93AD7"/>
    <w:rsid w:val="10D26327"/>
    <w:rsid w:val="10E52972"/>
    <w:rsid w:val="10F20D97"/>
    <w:rsid w:val="10FD7E68"/>
    <w:rsid w:val="113A4C18"/>
    <w:rsid w:val="11421E5E"/>
    <w:rsid w:val="11447845"/>
    <w:rsid w:val="11537A88"/>
    <w:rsid w:val="115C0EB7"/>
    <w:rsid w:val="116B5E0B"/>
    <w:rsid w:val="117635B2"/>
    <w:rsid w:val="118511BA"/>
    <w:rsid w:val="118A2253"/>
    <w:rsid w:val="1190415C"/>
    <w:rsid w:val="11915461"/>
    <w:rsid w:val="11BB40A7"/>
    <w:rsid w:val="11D32976"/>
    <w:rsid w:val="11DF2FE2"/>
    <w:rsid w:val="11EC6A74"/>
    <w:rsid w:val="120314AE"/>
    <w:rsid w:val="122174C2"/>
    <w:rsid w:val="122704B0"/>
    <w:rsid w:val="123A0C48"/>
    <w:rsid w:val="12575356"/>
    <w:rsid w:val="12865C3B"/>
    <w:rsid w:val="128E407F"/>
    <w:rsid w:val="12977E48"/>
    <w:rsid w:val="12A67527"/>
    <w:rsid w:val="12B564BD"/>
    <w:rsid w:val="12B82CC5"/>
    <w:rsid w:val="12F450A8"/>
    <w:rsid w:val="13101155"/>
    <w:rsid w:val="131414CF"/>
    <w:rsid w:val="13180760"/>
    <w:rsid w:val="13196AAF"/>
    <w:rsid w:val="13251FF4"/>
    <w:rsid w:val="132539EB"/>
    <w:rsid w:val="133D454B"/>
    <w:rsid w:val="13516249"/>
    <w:rsid w:val="139F6FB4"/>
    <w:rsid w:val="13A50343"/>
    <w:rsid w:val="13B30CB1"/>
    <w:rsid w:val="13B61D1A"/>
    <w:rsid w:val="13C90583"/>
    <w:rsid w:val="13D6569B"/>
    <w:rsid w:val="13DD7ADC"/>
    <w:rsid w:val="13E15C2A"/>
    <w:rsid w:val="14071AE8"/>
    <w:rsid w:val="14213E6D"/>
    <w:rsid w:val="142D60AA"/>
    <w:rsid w:val="14322531"/>
    <w:rsid w:val="14363136"/>
    <w:rsid w:val="143B75BD"/>
    <w:rsid w:val="145304E8"/>
    <w:rsid w:val="14545F69"/>
    <w:rsid w:val="145853B5"/>
    <w:rsid w:val="147A1B74"/>
    <w:rsid w:val="14830684"/>
    <w:rsid w:val="14A10B0A"/>
    <w:rsid w:val="14AA3E63"/>
    <w:rsid w:val="14AF76CB"/>
    <w:rsid w:val="14B06F9F"/>
    <w:rsid w:val="14BC1DE8"/>
    <w:rsid w:val="14BFA535"/>
    <w:rsid w:val="14E909DB"/>
    <w:rsid w:val="150D7916"/>
    <w:rsid w:val="15212909"/>
    <w:rsid w:val="152E36CE"/>
    <w:rsid w:val="153E45AB"/>
    <w:rsid w:val="153F13EA"/>
    <w:rsid w:val="1553008A"/>
    <w:rsid w:val="155618F4"/>
    <w:rsid w:val="156C0FB4"/>
    <w:rsid w:val="158562DB"/>
    <w:rsid w:val="158C796B"/>
    <w:rsid w:val="158D0509"/>
    <w:rsid w:val="159468F5"/>
    <w:rsid w:val="15AA689B"/>
    <w:rsid w:val="15AE1060"/>
    <w:rsid w:val="15AE1730"/>
    <w:rsid w:val="15B06226"/>
    <w:rsid w:val="15B7232D"/>
    <w:rsid w:val="15C80049"/>
    <w:rsid w:val="15D373E9"/>
    <w:rsid w:val="15DD21AE"/>
    <w:rsid w:val="15EE7D7F"/>
    <w:rsid w:val="160475A2"/>
    <w:rsid w:val="160B6B83"/>
    <w:rsid w:val="162503E3"/>
    <w:rsid w:val="16314110"/>
    <w:rsid w:val="164521D2"/>
    <w:rsid w:val="16764CEA"/>
    <w:rsid w:val="167A7B39"/>
    <w:rsid w:val="167B582E"/>
    <w:rsid w:val="16825412"/>
    <w:rsid w:val="168922B2"/>
    <w:rsid w:val="16992920"/>
    <w:rsid w:val="16A776B7"/>
    <w:rsid w:val="16B20DAC"/>
    <w:rsid w:val="16EAC48A"/>
    <w:rsid w:val="16F92E7F"/>
    <w:rsid w:val="171325EA"/>
    <w:rsid w:val="17142269"/>
    <w:rsid w:val="172779EC"/>
    <w:rsid w:val="17285513"/>
    <w:rsid w:val="173E0EAF"/>
    <w:rsid w:val="173E4D36"/>
    <w:rsid w:val="174F0CF1"/>
    <w:rsid w:val="17555BDC"/>
    <w:rsid w:val="17567D41"/>
    <w:rsid w:val="17581A59"/>
    <w:rsid w:val="176F4EEF"/>
    <w:rsid w:val="1771142A"/>
    <w:rsid w:val="17780E66"/>
    <w:rsid w:val="177F1919"/>
    <w:rsid w:val="17876D25"/>
    <w:rsid w:val="178E1F33"/>
    <w:rsid w:val="179901BE"/>
    <w:rsid w:val="17A83603"/>
    <w:rsid w:val="17ED041F"/>
    <w:rsid w:val="17EE4066"/>
    <w:rsid w:val="17FD074D"/>
    <w:rsid w:val="18226406"/>
    <w:rsid w:val="1825466A"/>
    <w:rsid w:val="183304C3"/>
    <w:rsid w:val="1833416F"/>
    <w:rsid w:val="18366B6B"/>
    <w:rsid w:val="18506ACF"/>
    <w:rsid w:val="185F480A"/>
    <w:rsid w:val="18636A0E"/>
    <w:rsid w:val="186B1B5B"/>
    <w:rsid w:val="18711861"/>
    <w:rsid w:val="18804D3F"/>
    <w:rsid w:val="1887061C"/>
    <w:rsid w:val="18887BCD"/>
    <w:rsid w:val="189E7B72"/>
    <w:rsid w:val="18B9619D"/>
    <w:rsid w:val="18E35B95"/>
    <w:rsid w:val="18E67433"/>
    <w:rsid w:val="18EF21A6"/>
    <w:rsid w:val="18F25FB4"/>
    <w:rsid w:val="18F4567C"/>
    <w:rsid w:val="18FD340F"/>
    <w:rsid w:val="1923010A"/>
    <w:rsid w:val="19330066"/>
    <w:rsid w:val="19382948"/>
    <w:rsid w:val="19600F94"/>
    <w:rsid w:val="19660166"/>
    <w:rsid w:val="19726F19"/>
    <w:rsid w:val="198738B2"/>
    <w:rsid w:val="1996115B"/>
    <w:rsid w:val="1998697F"/>
    <w:rsid w:val="199A38F3"/>
    <w:rsid w:val="19A30E80"/>
    <w:rsid w:val="19AB6A2A"/>
    <w:rsid w:val="19CB4D61"/>
    <w:rsid w:val="19D47103"/>
    <w:rsid w:val="19E52087"/>
    <w:rsid w:val="19EC7AEC"/>
    <w:rsid w:val="1A0822E3"/>
    <w:rsid w:val="1A111C52"/>
    <w:rsid w:val="1A15645A"/>
    <w:rsid w:val="1A2B6E03"/>
    <w:rsid w:val="1A2B7C18"/>
    <w:rsid w:val="1A37451B"/>
    <w:rsid w:val="1A554870"/>
    <w:rsid w:val="1A5F77D3"/>
    <w:rsid w:val="1A6C1BBA"/>
    <w:rsid w:val="1A7647E7"/>
    <w:rsid w:val="1A7C790F"/>
    <w:rsid w:val="1A7D5308"/>
    <w:rsid w:val="1A8011C2"/>
    <w:rsid w:val="1A8E4A9F"/>
    <w:rsid w:val="1AA475A6"/>
    <w:rsid w:val="1AC67E61"/>
    <w:rsid w:val="1AD66C3C"/>
    <w:rsid w:val="1ADA4D76"/>
    <w:rsid w:val="1AE37DAC"/>
    <w:rsid w:val="1AEE0821"/>
    <w:rsid w:val="1AF26D42"/>
    <w:rsid w:val="1AFF47DC"/>
    <w:rsid w:val="1B09565B"/>
    <w:rsid w:val="1B177D78"/>
    <w:rsid w:val="1B186F81"/>
    <w:rsid w:val="1B19589E"/>
    <w:rsid w:val="1B302BE8"/>
    <w:rsid w:val="1B343D8F"/>
    <w:rsid w:val="1B666609"/>
    <w:rsid w:val="1B67034F"/>
    <w:rsid w:val="1B784A1C"/>
    <w:rsid w:val="1B8575B5"/>
    <w:rsid w:val="1B88053A"/>
    <w:rsid w:val="1B8A054A"/>
    <w:rsid w:val="1BA07D6D"/>
    <w:rsid w:val="1BB9458C"/>
    <w:rsid w:val="1BC11999"/>
    <w:rsid w:val="1BC4291D"/>
    <w:rsid w:val="1BD163B0"/>
    <w:rsid w:val="1BE55780"/>
    <w:rsid w:val="1C0025BA"/>
    <w:rsid w:val="1C192706"/>
    <w:rsid w:val="1C1A7AA9"/>
    <w:rsid w:val="1C294B06"/>
    <w:rsid w:val="1C3C12E2"/>
    <w:rsid w:val="1C3E1334"/>
    <w:rsid w:val="1C5D7A0C"/>
    <w:rsid w:val="1C656C23"/>
    <w:rsid w:val="1C784846"/>
    <w:rsid w:val="1C8E7BC6"/>
    <w:rsid w:val="1C915908"/>
    <w:rsid w:val="1CA05B4B"/>
    <w:rsid w:val="1CA13D9D"/>
    <w:rsid w:val="1CA4418A"/>
    <w:rsid w:val="1CA8347B"/>
    <w:rsid w:val="1CAA1916"/>
    <w:rsid w:val="1CB0381F"/>
    <w:rsid w:val="1CBB1081"/>
    <w:rsid w:val="1CBF2475"/>
    <w:rsid w:val="1CC31A6E"/>
    <w:rsid w:val="1CC47A8B"/>
    <w:rsid w:val="1CD00D9F"/>
    <w:rsid w:val="1CF22D64"/>
    <w:rsid w:val="1CF57C45"/>
    <w:rsid w:val="1D023F9A"/>
    <w:rsid w:val="1D1631C4"/>
    <w:rsid w:val="1D8669FF"/>
    <w:rsid w:val="1D991794"/>
    <w:rsid w:val="1DBD00E2"/>
    <w:rsid w:val="1DC356D1"/>
    <w:rsid w:val="1DC85359"/>
    <w:rsid w:val="1DCB5271"/>
    <w:rsid w:val="1DD97567"/>
    <w:rsid w:val="1DED3227"/>
    <w:rsid w:val="1DFF609F"/>
    <w:rsid w:val="1E116D00"/>
    <w:rsid w:val="1E206EF9"/>
    <w:rsid w:val="1E225C80"/>
    <w:rsid w:val="1E236A34"/>
    <w:rsid w:val="1E2C658F"/>
    <w:rsid w:val="1E364F04"/>
    <w:rsid w:val="1E376B1E"/>
    <w:rsid w:val="1E780B2E"/>
    <w:rsid w:val="1E946DCA"/>
    <w:rsid w:val="1E95493A"/>
    <w:rsid w:val="1E996BC3"/>
    <w:rsid w:val="1EA062D6"/>
    <w:rsid w:val="1EB4768C"/>
    <w:rsid w:val="1ED35AA3"/>
    <w:rsid w:val="1EDB87DA"/>
    <w:rsid w:val="1EF30556"/>
    <w:rsid w:val="1F163F8E"/>
    <w:rsid w:val="1F2332A4"/>
    <w:rsid w:val="1F240D25"/>
    <w:rsid w:val="1F2B3DF2"/>
    <w:rsid w:val="1F3F0C31"/>
    <w:rsid w:val="1F585875"/>
    <w:rsid w:val="1F626B9C"/>
    <w:rsid w:val="1F6317DE"/>
    <w:rsid w:val="1F682713"/>
    <w:rsid w:val="1F6B3698"/>
    <w:rsid w:val="1F7F413E"/>
    <w:rsid w:val="1F8728EF"/>
    <w:rsid w:val="1F907DD0"/>
    <w:rsid w:val="1FA0658E"/>
    <w:rsid w:val="1FA712FF"/>
    <w:rsid w:val="1FAA65AA"/>
    <w:rsid w:val="1FB52813"/>
    <w:rsid w:val="1FC102B2"/>
    <w:rsid w:val="1FD9754F"/>
    <w:rsid w:val="1FFD1048"/>
    <w:rsid w:val="201715B2"/>
    <w:rsid w:val="2021602E"/>
    <w:rsid w:val="2024414B"/>
    <w:rsid w:val="202B1BD0"/>
    <w:rsid w:val="20415211"/>
    <w:rsid w:val="20481D81"/>
    <w:rsid w:val="204F58BE"/>
    <w:rsid w:val="20511636"/>
    <w:rsid w:val="20564E9E"/>
    <w:rsid w:val="20716917"/>
    <w:rsid w:val="20847C5E"/>
    <w:rsid w:val="209E3CA0"/>
    <w:rsid w:val="20BC55C4"/>
    <w:rsid w:val="20C274CD"/>
    <w:rsid w:val="20D81D57"/>
    <w:rsid w:val="20F35A9E"/>
    <w:rsid w:val="20FD356C"/>
    <w:rsid w:val="21066CBD"/>
    <w:rsid w:val="210B3144"/>
    <w:rsid w:val="210E7DC4"/>
    <w:rsid w:val="211D776A"/>
    <w:rsid w:val="215522BF"/>
    <w:rsid w:val="2185500C"/>
    <w:rsid w:val="21E253A6"/>
    <w:rsid w:val="21E35E46"/>
    <w:rsid w:val="21F11323"/>
    <w:rsid w:val="21F430C2"/>
    <w:rsid w:val="21F4496F"/>
    <w:rsid w:val="221435F7"/>
    <w:rsid w:val="22197A7E"/>
    <w:rsid w:val="222F1E4B"/>
    <w:rsid w:val="223631D9"/>
    <w:rsid w:val="225F01F3"/>
    <w:rsid w:val="22623FCE"/>
    <w:rsid w:val="2268710B"/>
    <w:rsid w:val="22937748"/>
    <w:rsid w:val="229E6ACC"/>
    <w:rsid w:val="22A068A5"/>
    <w:rsid w:val="22BB5089"/>
    <w:rsid w:val="22DA188C"/>
    <w:rsid w:val="22DC32C7"/>
    <w:rsid w:val="22DC55BE"/>
    <w:rsid w:val="22E744D4"/>
    <w:rsid w:val="23305E7B"/>
    <w:rsid w:val="233139A1"/>
    <w:rsid w:val="233F60BE"/>
    <w:rsid w:val="23615817"/>
    <w:rsid w:val="239A32F4"/>
    <w:rsid w:val="23A128D5"/>
    <w:rsid w:val="23A4088A"/>
    <w:rsid w:val="23AF726E"/>
    <w:rsid w:val="23B4085A"/>
    <w:rsid w:val="23C94A4E"/>
    <w:rsid w:val="23D71DF9"/>
    <w:rsid w:val="23E14E6C"/>
    <w:rsid w:val="240D3AC6"/>
    <w:rsid w:val="240F5A90"/>
    <w:rsid w:val="241565BF"/>
    <w:rsid w:val="241B04C9"/>
    <w:rsid w:val="24303C58"/>
    <w:rsid w:val="2446522A"/>
    <w:rsid w:val="245566AF"/>
    <w:rsid w:val="24585DAF"/>
    <w:rsid w:val="2461778C"/>
    <w:rsid w:val="24661428"/>
    <w:rsid w:val="24710ED7"/>
    <w:rsid w:val="2476535F"/>
    <w:rsid w:val="248074B2"/>
    <w:rsid w:val="248A1E01"/>
    <w:rsid w:val="24A44BA9"/>
    <w:rsid w:val="24A96F54"/>
    <w:rsid w:val="24AC651A"/>
    <w:rsid w:val="24D665AE"/>
    <w:rsid w:val="24DB0020"/>
    <w:rsid w:val="24F301AC"/>
    <w:rsid w:val="25273672"/>
    <w:rsid w:val="25311A36"/>
    <w:rsid w:val="25493BB6"/>
    <w:rsid w:val="255D282B"/>
    <w:rsid w:val="256C6F12"/>
    <w:rsid w:val="25777D91"/>
    <w:rsid w:val="259B3353"/>
    <w:rsid w:val="25A5507C"/>
    <w:rsid w:val="25B924F3"/>
    <w:rsid w:val="26023BEC"/>
    <w:rsid w:val="26345C82"/>
    <w:rsid w:val="26393298"/>
    <w:rsid w:val="263E08AF"/>
    <w:rsid w:val="26421153"/>
    <w:rsid w:val="264D28A0"/>
    <w:rsid w:val="267663B1"/>
    <w:rsid w:val="267C4BAC"/>
    <w:rsid w:val="26807C92"/>
    <w:rsid w:val="2695133D"/>
    <w:rsid w:val="26A06F6E"/>
    <w:rsid w:val="26A2658A"/>
    <w:rsid w:val="26A37EF2"/>
    <w:rsid w:val="26CA2142"/>
    <w:rsid w:val="26D23FB3"/>
    <w:rsid w:val="26E054C2"/>
    <w:rsid w:val="26EA4592"/>
    <w:rsid w:val="26F86CAF"/>
    <w:rsid w:val="26F975FC"/>
    <w:rsid w:val="27066912"/>
    <w:rsid w:val="27077C17"/>
    <w:rsid w:val="270A69E3"/>
    <w:rsid w:val="27221F7E"/>
    <w:rsid w:val="273B4DEE"/>
    <w:rsid w:val="274A6239"/>
    <w:rsid w:val="27553A8D"/>
    <w:rsid w:val="27603B29"/>
    <w:rsid w:val="278176C0"/>
    <w:rsid w:val="27983C83"/>
    <w:rsid w:val="27991704"/>
    <w:rsid w:val="27A22014"/>
    <w:rsid w:val="27C55A4B"/>
    <w:rsid w:val="27DF62E4"/>
    <w:rsid w:val="2808303D"/>
    <w:rsid w:val="28171FD2"/>
    <w:rsid w:val="28270C1E"/>
    <w:rsid w:val="283D14DA"/>
    <w:rsid w:val="2843631A"/>
    <w:rsid w:val="286E6AFD"/>
    <w:rsid w:val="28885E11"/>
    <w:rsid w:val="28D0778C"/>
    <w:rsid w:val="28EA3630"/>
    <w:rsid w:val="28FE4325"/>
    <w:rsid w:val="29023E15"/>
    <w:rsid w:val="2912392D"/>
    <w:rsid w:val="291853E7"/>
    <w:rsid w:val="292C0E92"/>
    <w:rsid w:val="295D00EB"/>
    <w:rsid w:val="29683EFE"/>
    <w:rsid w:val="29977D32"/>
    <w:rsid w:val="299B7DC6"/>
    <w:rsid w:val="29AE6BF1"/>
    <w:rsid w:val="29B042F2"/>
    <w:rsid w:val="29BB5D72"/>
    <w:rsid w:val="29BC0105"/>
    <w:rsid w:val="29D14827"/>
    <w:rsid w:val="29E6402D"/>
    <w:rsid w:val="29FF0355"/>
    <w:rsid w:val="29FF28E1"/>
    <w:rsid w:val="2A0C4A0C"/>
    <w:rsid w:val="2A2D7C51"/>
    <w:rsid w:val="2A361FCD"/>
    <w:rsid w:val="2A454BC0"/>
    <w:rsid w:val="2A7E3970"/>
    <w:rsid w:val="2A7F4FF2"/>
    <w:rsid w:val="2A8A2314"/>
    <w:rsid w:val="2AB20D28"/>
    <w:rsid w:val="2B2B15E0"/>
    <w:rsid w:val="2B3B187A"/>
    <w:rsid w:val="2B420F0B"/>
    <w:rsid w:val="2B5621F6"/>
    <w:rsid w:val="2B666ECF"/>
    <w:rsid w:val="2B936FA7"/>
    <w:rsid w:val="2B980A61"/>
    <w:rsid w:val="2BA33828"/>
    <w:rsid w:val="2BA60F2A"/>
    <w:rsid w:val="2BCE4483"/>
    <w:rsid w:val="2BEC169E"/>
    <w:rsid w:val="2BFA7026"/>
    <w:rsid w:val="2C0B1233"/>
    <w:rsid w:val="2C1A76C8"/>
    <w:rsid w:val="2C1D1E6D"/>
    <w:rsid w:val="2C303C79"/>
    <w:rsid w:val="2C411D73"/>
    <w:rsid w:val="2C4D29BC"/>
    <w:rsid w:val="2C603BDB"/>
    <w:rsid w:val="2C7176F9"/>
    <w:rsid w:val="2C7B2207"/>
    <w:rsid w:val="2C7D0F8D"/>
    <w:rsid w:val="2C971B37"/>
    <w:rsid w:val="2CA02EE9"/>
    <w:rsid w:val="2CD21D51"/>
    <w:rsid w:val="2CDC0FA6"/>
    <w:rsid w:val="2CEE4EBF"/>
    <w:rsid w:val="2CFF0262"/>
    <w:rsid w:val="2CFF49DE"/>
    <w:rsid w:val="2D095047"/>
    <w:rsid w:val="2D1026FA"/>
    <w:rsid w:val="2D1F26EE"/>
    <w:rsid w:val="2D2D7AAC"/>
    <w:rsid w:val="2D452523"/>
    <w:rsid w:val="2D4744ED"/>
    <w:rsid w:val="2D6F0515"/>
    <w:rsid w:val="2D875092"/>
    <w:rsid w:val="2D9561D7"/>
    <w:rsid w:val="2D9A5EE2"/>
    <w:rsid w:val="2D9F2369"/>
    <w:rsid w:val="2DAA299B"/>
    <w:rsid w:val="2DC3288C"/>
    <w:rsid w:val="2DC50F24"/>
    <w:rsid w:val="2DD218DC"/>
    <w:rsid w:val="2DD33ABD"/>
    <w:rsid w:val="2DD613CD"/>
    <w:rsid w:val="2DDB2E87"/>
    <w:rsid w:val="2DDBB890"/>
    <w:rsid w:val="2DF45CF7"/>
    <w:rsid w:val="2DFBEF23"/>
    <w:rsid w:val="2E1113A3"/>
    <w:rsid w:val="2E183793"/>
    <w:rsid w:val="2E3069B9"/>
    <w:rsid w:val="2E3F3416"/>
    <w:rsid w:val="2E3F536B"/>
    <w:rsid w:val="2E4A4A00"/>
    <w:rsid w:val="2E4E5407"/>
    <w:rsid w:val="2E5F7614"/>
    <w:rsid w:val="2E6E7857"/>
    <w:rsid w:val="2E7F19D7"/>
    <w:rsid w:val="2E897D68"/>
    <w:rsid w:val="2EB55486"/>
    <w:rsid w:val="2EDE5274"/>
    <w:rsid w:val="2EDF2CF6"/>
    <w:rsid w:val="2EE54BFF"/>
    <w:rsid w:val="2F005429"/>
    <w:rsid w:val="2F195A15"/>
    <w:rsid w:val="2F1D760E"/>
    <w:rsid w:val="2F3A3BDD"/>
    <w:rsid w:val="2F5064AC"/>
    <w:rsid w:val="2F59133A"/>
    <w:rsid w:val="2F5D7D41"/>
    <w:rsid w:val="2F754C15"/>
    <w:rsid w:val="2F776BDF"/>
    <w:rsid w:val="2F8354A1"/>
    <w:rsid w:val="2F882E8F"/>
    <w:rsid w:val="2F9150B5"/>
    <w:rsid w:val="2F9B4539"/>
    <w:rsid w:val="2F9C6646"/>
    <w:rsid w:val="2FA63021"/>
    <w:rsid w:val="2FAB58C1"/>
    <w:rsid w:val="2FB052CF"/>
    <w:rsid w:val="2FCA6176"/>
    <w:rsid w:val="2FCC3878"/>
    <w:rsid w:val="2FF23AB7"/>
    <w:rsid w:val="2FF772D8"/>
    <w:rsid w:val="2FFB3907"/>
    <w:rsid w:val="2FFB6945"/>
    <w:rsid w:val="300246FB"/>
    <w:rsid w:val="3003422D"/>
    <w:rsid w:val="3069003C"/>
    <w:rsid w:val="30BC1800"/>
    <w:rsid w:val="30C74D94"/>
    <w:rsid w:val="30CF6263"/>
    <w:rsid w:val="30EB518F"/>
    <w:rsid w:val="30F75626"/>
    <w:rsid w:val="31085D41"/>
    <w:rsid w:val="311918FF"/>
    <w:rsid w:val="312B28BA"/>
    <w:rsid w:val="314174A5"/>
    <w:rsid w:val="314A536E"/>
    <w:rsid w:val="314D5E4A"/>
    <w:rsid w:val="31523460"/>
    <w:rsid w:val="315C7E3B"/>
    <w:rsid w:val="315E3BB3"/>
    <w:rsid w:val="31673619"/>
    <w:rsid w:val="317FACF7"/>
    <w:rsid w:val="31A13BBF"/>
    <w:rsid w:val="31BC0B24"/>
    <w:rsid w:val="31C439B2"/>
    <w:rsid w:val="31CE7B45"/>
    <w:rsid w:val="31DB3455"/>
    <w:rsid w:val="31E032E3"/>
    <w:rsid w:val="321C56C6"/>
    <w:rsid w:val="321E5346"/>
    <w:rsid w:val="3220355E"/>
    <w:rsid w:val="322070BA"/>
    <w:rsid w:val="32221084"/>
    <w:rsid w:val="32311DE8"/>
    <w:rsid w:val="323A4620"/>
    <w:rsid w:val="323B0398"/>
    <w:rsid w:val="325D20BC"/>
    <w:rsid w:val="3284056D"/>
    <w:rsid w:val="32911E02"/>
    <w:rsid w:val="3297758E"/>
    <w:rsid w:val="32A73338"/>
    <w:rsid w:val="32B9647B"/>
    <w:rsid w:val="32CC1FE7"/>
    <w:rsid w:val="32D0288E"/>
    <w:rsid w:val="32ED471A"/>
    <w:rsid w:val="32FC18D5"/>
    <w:rsid w:val="331C1F78"/>
    <w:rsid w:val="332F5899"/>
    <w:rsid w:val="33380A62"/>
    <w:rsid w:val="333E1EEE"/>
    <w:rsid w:val="3345642D"/>
    <w:rsid w:val="334A28B5"/>
    <w:rsid w:val="33660B60"/>
    <w:rsid w:val="336F02F9"/>
    <w:rsid w:val="338866DE"/>
    <w:rsid w:val="3392652C"/>
    <w:rsid w:val="339D6ABC"/>
    <w:rsid w:val="339E233F"/>
    <w:rsid w:val="33AE06F6"/>
    <w:rsid w:val="33B61BE4"/>
    <w:rsid w:val="33C613DE"/>
    <w:rsid w:val="33C87A09"/>
    <w:rsid w:val="33CD5020"/>
    <w:rsid w:val="33D52499"/>
    <w:rsid w:val="33DE4907"/>
    <w:rsid w:val="33E317DE"/>
    <w:rsid w:val="33F93952"/>
    <w:rsid w:val="33FB4AD5"/>
    <w:rsid w:val="340C2973"/>
    <w:rsid w:val="340E0074"/>
    <w:rsid w:val="342D0459"/>
    <w:rsid w:val="345871EF"/>
    <w:rsid w:val="34654306"/>
    <w:rsid w:val="34684D49"/>
    <w:rsid w:val="34736881"/>
    <w:rsid w:val="3476679F"/>
    <w:rsid w:val="348A543F"/>
    <w:rsid w:val="348B12A6"/>
    <w:rsid w:val="34A35D81"/>
    <w:rsid w:val="34AE30A3"/>
    <w:rsid w:val="34C57BA3"/>
    <w:rsid w:val="34CC3529"/>
    <w:rsid w:val="34DF294B"/>
    <w:rsid w:val="34F77FF2"/>
    <w:rsid w:val="34F97E4B"/>
    <w:rsid w:val="34FC7CFD"/>
    <w:rsid w:val="351C000D"/>
    <w:rsid w:val="353A0493"/>
    <w:rsid w:val="353E2C35"/>
    <w:rsid w:val="358F6692"/>
    <w:rsid w:val="35941175"/>
    <w:rsid w:val="359B4383"/>
    <w:rsid w:val="359E4EC6"/>
    <w:rsid w:val="35A63D7A"/>
    <w:rsid w:val="35C07A3B"/>
    <w:rsid w:val="35CC2A4A"/>
    <w:rsid w:val="35FB109B"/>
    <w:rsid w:val="35FC1BEC"/>
    <w:rsid w:val="35FF0CF3"/>
    <w:rsid w:val="36107446"/>
    <w:rsid w:val="364315C9"/>
    <w:rsid w:val="36561233"/>
    <w:rsid w:val="3663634A"/>
    <w:rsid w:val="366B28CE"/>
    <w:rsid w:val="367F5E2B"/>
    <w:rsid w:val="3684230E"/>
    <w:rsid w:val="368C4D1E"/>
    <w:rsid w:val="368C5E8A"/>
    <w:rsid w:val="36B6623F"/>
    <w:rsid w:val="36CC5A63"/>
    <w:rsid w:val="36E36898"/>
    <w:rsid w:val="36E74081"/>
    <w:rsid w:val="36E865A3"/>
    <w:rsid w:val="37046FAB"/>
    <w:rsid w:val="370B5A40"/>
    <w:rsid w:val="370B7A5D"/>
    <w:rsid w:val="3711B415"/>
    <w:rsid w:val="37135440"/>
    <w:rsid w:val="37284E0F"/>
    <w:rsid w:val="37357164"/>
    <w:rsid w:val="3745693D"/>
    <w:rsid w:val="37541156"/>
    <w:rsid w:val="37846422"/>
    <w:rsid w:val="378F5AB8"/>
    <w:rsid w:val="37992B44"/>
    <w:rsid w:val="37A20571"/>
    <w:rsid w:val="37A34A15"/>
    <w:rsid w:val="37AA096C"/>
    <w:rsid w:val="37AA40E3"/>
    <w:rsid w:val="37AC319E"/>
    <w:rsid w:val="37B13A6E"/>
    <w:rsid w:val="37B52474"/>
    <w:rsid w:val="37BF0A7E"/>
    <w:rsid w:val="37D00A9F"/>
    <w:rsid w:val="37E732E3"/>
    <w:rsid w:val="37FE1C95"/>
    <w:rsid w:val="380A4A95"/>
    <w:rsid w:val="381B27FE"/>
    <w:rsid w:val="381C789A"/>
    <w:rsid w:val="3842422E"/>
    <w:rsid w:val="384B29B7"/>
    <w:rsid w:val="384D2BD3"/>
    <w:rsid w:val="38735D2A"/>
    <w:rsid w:val="387C2CB8"/>
    <w:rsid w:val="389926E7"/>
    <w:rsid w:val="389E6A5F"/>
    <w:rsid w:val="38C5276A"/>
    <w:rsid w:val="38CB41BA"/>
    <w:rsid w:val="38D65DCF"/>
    <w:rsid w:val="38D96D53"/>
    <w:rsid w:val="38EA72B2"/>
    <w:rsid w:val="38F21206"/>
    <w:rsid w:val="38FE7A29"/>
    <w:rsid w:val="3902751A"/>
    <w:rsid w:val="390B44C8"/>
    <w:rsid w:val="3913458B"/>
    <w:rsid w:val="392B54D9"/>
    <w:rsid w:val="39445D84"/>
    <w:rsid w:val="394D6D12"/>
    <w:rsid w:val="3950297B"/>
    <w:rsid w:val="39542E1A"/>
    <w:rsid w:val="3954669D"/>
    <w:rsid w:val="39561614"/>
    <w:rsid w:val="39592B25"/>
    <w:rsid w:val="398402F3"/>
    <w:rsid w:val="39964B88"/>
    <w:rsid w:val="399E4A35"/>
    <w:rsid w:val="39A90325"/>
    <w:rsid w:val="39B5718B"/>
    <w:rsid w:val="39BA4298"/>
    <w:rsid w:val="39CD7260"/>
    <w:rsid w:val="39D733F3"/>
    <w:rsid w:val="39E62997"/>
    <w:rsid w:val="39FF069E"/>
    <w:rsid w:val="3A0776A1"/>
    <w:rsid w:val="3A087E95"/>
    <w:rsid w:val="3A0B0650"/>
    <w:rsid w:val="3A105C66"/>
    <w:rsid w:val="3A1273C6"/>
    <w:rsid w:val="3A127D55"/>
    <w:rsid w:val="3A22034B"/>
    <w:rsid w:val="3A277620"/>
    <w:rsid w:val="3A2B6F44"/>
    <w:rsid w:val="3A2C08FF"/>
    <w:rsid w:val="3A3C2EFF"/>
    <w:rsid w:val="3A3D2D97"/>
    <w:rsid w:val="3A5307BE"/>
    <w:rsid w:val="3A617AD4"/>
    <w:rsid w:val="3A6442DC"/>
    <w:rsid w:val="3A67745F"/>
    <w:rsid w:val="3A682CE2"/>
    <w:rsid w:val="3A704D37"/>
    <w:rsid w:val="3A7B5F3D"/>
    <w:rsid w:val="3A8D5509"/>
    <w:rsid w:val="3A9721AC"/>
    <w:rsid w:val="3AB24F6F"/>
    <w:rsid w:val="3ADB4E02"/>
    <w:rsid w:val="3ADD50BB"/>
    <w:rsid w:val="3ADE3FB6"/>
    <w:rsid w:val="3AE3262C"/>
    <w:rsid w:val="3AEC66D3"/>
    <w:rsid w:val="3AFB6916"/>
    <w:rsid w:val="3B246918"/>
    <w:rsid w:val="3B2E2848"/>
    <w:rsid w:val="3B337E2C"/>
    <w:rsid w:val="3B3B2CBA"/>
    <w:rsid w:val="3B3D4A8D"/>
    <w:rsid w:val="3B494A65"/>
    <w:rsid w:val="3B497682"/>
    <w:rsid w:val="3B4C7172"/>
    <w:rsid w:val="3B806E1C"/>
    <w:rsid w:val="3B977B51"/>
    <w:rsid w:val="3B980E56"/>
    <w:rsid w:val="3BBD1E1E"/>
    <w:rsid w:val="3BC26416"/>
    <w:rsid w:val="3BCE2592"/>
    <w:rsid w:val="3BD77460"/>
    <w:rsid w:val="3BD83E3D"/>
    <w:rsid w:val="3BFC0B7A"/>
    <w:rsid w:val="3C196E25"/>
    <w:rsid w:val="3C2B6D87"/>
    <w:rsid w:val="3C44609B"/>
    <w:rsid w:val="3C471BAD"/>
    <w:rsid w:val="3C4E2A76"/>
    <w:rsid w:val="3C5A141B"/>
    <w:rsid w:val="3C8B42AF"/>
    <w:rsid w:val="3C982B28"/>
    <w:rsid w:val="3C9A5CBB"/>
    <w:rsid w:val="3C9B60FA"/>
    <w:rsid w:val="3CB21257"/>
    <w:rsid w:val="3CBF2E36"/>
    <w:rsid w:val="3CC52D38"/>
    <w:rsid w:val="3CCA47F2"/>
    <w:rsid w:val="3CCE0ED2"/>
    <w:rsid w:val="3CD53730"/>
    <w:rsid w:val="3CE04016"/>
    <w:rsid w:val="3CEC1573"/>
    <w:rsid w:val="3D026EE7"/>
    <w:rsid w:val="3D0575D8"/>
    <w:rsid w:val="3D0657A9"/>
    <w:rsid w:val="3D201BD6"/>
    <w:rsid w:val="3D231C22"/>
    <w:rsid w:val="3D2F43EF"/>
    <w:rsid w:val="3D340877"/>
    <w:rsid w:val="3D412847"/>
    <w:rsid w:val="3D471A96"/>
    <w:rsid w:val="3D5742AE"/>
    <w:rsid w:val="3D5877B1"/>
    <w:rsid w:val="3D7D3613"/>
    <w:rsid w:val="3DA443AE"/>
    <w:rsid w:val="3DBA6551"/>
    <w:rsid w:val="3DDA4888"/>
    <w:rsid w:val="3DDD580C"/>
    <w:rsid w:val="3DF338D5"/>
    <w:rsid w:val="3E003FA1"/>
    <w:rsid w:val="3E0C2BE9"/>
    <w:rsid w:val="3E112DF9"/>
    <w:rsid w:val="3E1B0B74"/>
    <w:rsid w:val="3E285C74"/>
    <w:rsid w:val="3E2F3F92"/>
    <w:rsid w:val="3E374C21"/>
    <w:rsid w:val="3E392B8C"/>
    <w:rsid w:val="3E3E655A"/>
    <w:rsid w:val="3E6D5FBE"/>
    <w:rsid w:val="3E729A5F"/>
    <w:rsid w:val="3E79568B"/>
    <w:rsid w:val="3E7964D0"/>
    <w:rsid w:val="3E845248"/>
    <w:rsid w:val="3E887EA3"/>
    <w:rsid w:val="3E8E35FE"/>
    <w:rsid w:val="3E8E7CCC"/>
    <w:rsid w:val="3E921340"/>
    <w:rsid w:val="3EB954B1"/>
    <w:rsid w:val="3ED45DA4"/>
    <w:rsid w:val="3EDB7B99"/>
    <w:rsid w:val="3EFF6BE9"/>
    <w:rsid w:val="3F127E08"/>
    <w:rsid w:val="3F1C4E43"/>
    <w:rsid w:val="3F3D78A6"/>
    <w:rsid w:val="3F473D96"/>
    <w:rsid w:val="3F4A7370"/>
    <w:rsid w:val="3F4E170B"/>
    <w:rsid w:val="3F544847"/>
    <w:rsid w:val="3F5B5A21"/>
    <w:rsid w:val="3F5F64EF"/>
    <w:rsid w:val="3F7B76A8"/>
    <w:rsid w:val="3F864345"/>
    <w:rsid w:val="3F8769CB"/>
    <w:rsid w:val="3F8F2C54"/>
    <w:rsid w:val="3FA163AC"/>
    <w:rsid w:val="3FA44371"/>
    <w:rsid w:val="3FA45178"/>
    <w:rsid w:val="3FBE8DA7"/>
    <w:rsid w:val="3FBF2D1F"/>
    <w:rsid w:val="3FCF3ECE"/>
    <w:rsid w:val="3FD140EA"/>
    <w:rsid w:val="3FD17C46"/>
    <w:rsid w:val="3FF04570"/>
    <w:rsid w:val="3FFC108A"/>
    <w:rsid w:val="400C5AA1"/>
    <w:rsid w:val="4015092F"/>
    <w:rsid w:val="40153FD6"/>
    <w:rsid w:val="401C5365"/>
    <w:rsid w:val="403027DE"/>
    <w:rsid w:val="405E3BCF"/>
    <w:rsid w:val="405F58AB"/>
    <w:rsid w:val="40713247"/>
    <w:rsid w:val="40730CFD"/>
    <w:rsid w:val="409E3FCC"/>
    <w:rsid w:val="40CD665F"/>
    <w:rsid w:val="40D16AE4"/>
    <w:rsid w:val="40F005A0"/>
    <w:rsid w:val="40F70F22"/>
    <w:rsid w:val="40FD66AE"/>
    <w:rsid w:val="41173D7E"/>
    <w:rsid w:val="411B5C5E"/>
    <w:rsid w:val="412A0477"/>
    <w:rsid w:val="41340D87"/>
    <w:rsid w:val="415C79E3"/>
    <w:rsid w:val="41602ED0"/>
    <w:rsid w:val="416B7C26"/>
    <w:rsid w:val="416E7E42"/>
    <w:rsid w:val="41B73F29"/>
    <w:rsid w:val="41B8730F"/>
    <w:rsid w:val="41BE0CEB"/>
    <w:rsid w:val="41C44A69"/>
    <w:rsid w:val="41CB477D"/>
    <w:rsid w:val="41E9396D"/>
    <w:rsid w:val="41FF4F3E"/>
    <w:rsid w:val="42246753"/>
    <w:rsid w:val="42392168"/>
    <w:rsid w:val="424A08CF"/>
    <w:rsid w:val="42666D6B"/>
    <w:rsid w:val="427A2817"/>
    <w:rsid w:val="42967409"/>
    <w:rsid w:val="42AA1BED"/>
    <w:rsid w:val="42BC2E2F"/>
    <w:rsid w:val="42BC698B"/>
    <w:rsid w:val="42C85330"/>
    <w:rsid w:val="42CB2122"/>
    <w:rsid w:val="42EB0458"/>
    <w:rsid w:val="42FF70F8"/>
    <w:rsid w:val="430A2F0B"/>
    <w:rsid w:val="43301127"/>
    <w:rsid w:val="433078C8"/>
    <w:rsid w:val="43382755"/>
    <w:rsid w:val="43536B83"/>
    <w:rsid w:val="43546802"/>
    <w:rsid w:val="435E7A42"/>
    <w:rsid w:val="4362139B"/>
    <w:rsid w:val="43652320"/>
    <w:rsid w:val="4374370A"/>
    <w:rsid w:val="437E6337"/>
    <w:rsid w:val="438A7C97"/>
    <w:rsid w:val="438C2802"/>
    <w:rsid w:val="43911EEB"/>
    <w:rsid w:val="43A53412"/>
    <w:rsid w:val="43AD2778"/>
    <w:rsid w:val="43C0796C"/>
    <w:rsid w:val="43CF6B92"/>
    <w:rsid w:val="43D45F4C"/>
    <w:rsid w:val="43E32EF2"/>
    <w:rsid w:val="43EE4803"/>
    <w:rsid w:val="43F7188F"/>
    <w:rsid w:val="44162144"/>
    <w:rsid w:val="441E3CCD"/>
    <w:rsid w:val="442F19E9"/>
    <w:rsid w:val="44395B7B"/>
    <w:rsid w:val="44520CA4"/>
    <w:rsid w:val="44586B88"/>
    <w:rsid w:val="44667944"/>
    <w:rsid w:val="44722751"/>
    <w:rsid w:val="447B4066"/>
    <w:rsid w:val="44973997"/>
    <w:rsid w:val="44A377A9"/>
    <w:rsid w:val="44B9194D"/>
    <w:rsid w:val="44BB4ECD"/>
    <w:rsid w:val="44C15265"/>
    <w:rsid w:val="44C43E69"/>
    <w:rsid w:val="44D01572"/>
    <w:rsid w:val="44E81CBA"/>
    <w:rsid w:val="44FC7513"/>
    <w:rsid w:val="45142F3A"/>
    <w:rsid w:val="45154265"/>
    <w:rsid w:val="451F4B74"/>
    <w:rsid w:val="452B604A"/>
    <w:rsid w:val="453A6A23"/>
    <w:rsid w:val="45447333"/>
    <w:rsid w:val="458115B6"/>
    <w:rsid w:val="4582210E"/>
    <w:rsid w:val="45857D9C"/>
    <w:rsid w:val="45913BAE"/>
    <w:rsid w:val="45BC7819"/>
    <w:rsid w:val="45D20736"/>
    <w:rsid w:val="45D55AA5"/>
    <w:rsid w:val="45E22BAD"/>
    <w:rsid w:val="45E85A95"/>
    <w:rsid w:val="46051167"/>
    <w:rsid w:val="460F771A"/>
    <w:rsid w:val="462A2AA8"/>
    <w:rsid w:val="464F3433"/>
    <w:rsid w:val="465A12C6"/>
    <w:rsid w:val="465D2233"/>
    <w:rsid w:val="46654E8C"/>
    <w:rsid w:val="4667038F"/>
    <w:rsid w:val="46761547"/>
    <w:rsid w:val="46827EEC"/>
    <w:rsid w:val="468C72C9"/>
    <w:rsid w:val="46954C8C"/>
    <w:rsid w:val="46AB11F1"/>
    <w:rsid w:val="46C774AF"/>
    <w:rsid w:val="46CC00B3"/>
    <w:rsid w:val="46D42F41"/>
    <w:rsid w:val="47017063"/>
    <w:rsid w:val="47046B53"/>
    <w:rsid w:val="471A5C34"/>
    <w:rsid w:val="471F573B"/>
    <w:rsid w:val="47232D85"/>
    <w:rsid w:val="473311E6"/>
    <w:rsid w:val="47451645"/>
    <w:rsid w:val="47577C97"/>
    <w:rsid w:val="476819D3"/>
    <w:rsid w:val="477261B2"/>
    <w:rsid w:val="477A6F52"/>
    <w:rsid w:val="47A65E5C"/>
    <w:rsid w:val="47EA1B20"/>
    <w:rsid w:val="47EF6F11"/>
    <w:rsid w:val="47FB352D"/>
    <w:rsid w:val="480C2163"/>
    <w:rsid w:val="48166B3E"/>
    <w:rsid w:val="482374AD"/>
    <w:rsid w:val="48276F9D"/>
    <w:rsid w:val="48285DF1"/>
    <w:rsid w:val="483C3E0E"/>
    <w:rsid w:val="48513732"/>
    <w:rsid w:val="48541414"/>
    <w:rsid w:val="485A4042"/>
    <w:rsid w:val="488066AD"/>
    <w:rsid w:val="48811D03"/>
    <w:rsid w:val="48990868"/>
    <w:rsid w:val="48A37CB9"/>
    <w:rsid w:val="48A61EF2"/>
    <w:rsid w:val="48B60897"/>
    <w:rsid w:val="48C26CC5"/>
    <w:rsid w:val="48CD0AFD"/>
    <w:rsid w:val="48D83DF3"/>
    <w:rsid w:val="49143AC3"/>
    <w:rsid w:val="491C4497"/>
    <w:rsid w:val="494B4C4F"/>
    <w:rsid w:val="494B6CBB"/>
    <w:rsid w:val="49575660"/>
    <w:rsid w:val="4961347E"/>
    <w:rsid w:val="496438D9"/>
    <w:rsid w:val="497C7C92"/>
    <w:rsid w:val="49A3511F"/>
    <w:rsid w:val="49EA27DE"/>
    <w:rsid w:val="4A061AFF"/>
    <w:rsid w:val="4A2133BA"/>
    <w:rsid w:val="4A24103C"/>
    <w:rsid w:val="4A3258F2"/>
    <w:rsid w:val="4A454E67"/>
    <w:rsid w:val="4A49386D"/>
    <w:rsid w:val="4A4A6F73"/>
    <w:rsid w:val="4A5B1180"/>
    <w:rsid w:val="4A66386C"/>
    <w:rsid w:val="4A896855"/>
    <w:rsid w:val="4B0215FB"/>
    <w:rsid w:val="4B0B5BC5"/>
    <w:rsid w:val="4B3043BA"/>
    <w:rsid w:val="4B4F0B9C"/>
    <w:rsid w:val="4B510DE4"/>
    <w:rsid w:val="4B5B6BAD"/>
    <w:rsid w:val="4B5C2F33"/>
    <w:rsid w:val="4B8200F2"/>
    <w:rsid w:val="4B98554A"/>
    <w:rsid w:val="4B995B21"/>
    <w:rsid w:val="4BDB6202"/>
    <w:rsid w:val="4C0C7F1F"/>
    <w:rsid w:val="4C2343F8"/>
    <w:rsid w:val="4C2F5C8C"/>
    <w:rsid w:val="4C304D42"/>
    <w:rsid w:val="4C325F10"/>
    <w:rsid w:val="4C352B7B"/>
    <w:rsid w:val="4C380B1A"/>
    <w:rsid w:val="4C3E48B5"/>
    <w:rsid w:val="4C453CFD"/>
    <w:rsid w:val="4C5145E8"/>
    <w:rsid w:val="4C520D9B"/>
    <w:rsid w:val="4C52210E"/>
    <w:rsid w:val="4C72630D"/>
    <w:rsid w:val="4C824411"/>
    <w:rsid w:val="4CAE3FDC"/>
    <w:rsid w:val="4CB53967"/>
    <w:rsid w:val="4CB64822"/>
    <w:rsid w:val="4CBD7591"/>
    <w:rsid w:val="4CC44A4F"/>
    <w:rsid w:val="4CC82987"/>
    <w:rsid w:val="4CEF4C08"/>
    <w:rsid w:val="4CFF2296"/>
    <w:rsid w:val="4D292AC8"/>
    <w:rsid w:val="4D357059"/>
    <w:rsid w:val="4D3C7046"/>
    <w:rsid w:val="4D550A15"/>
    <w:rsid w:val="4D6F4BCC"/>
    <w:rsid w:val="4D796F28"/>
    <w:rsid w:val="4D7D140D"/>
    <w:rsid w:val="4D8602C2"/>
    <w:rsid w:val="4D871483"/>
    <w:rsid w:val="4D8C494F"/>
    <w:rsid w:val="4D8E364A"/>
    <w:rsid w:val="4D9819DB"/>
    <w:rsid w:val="4D9E38E4"/>
    <w:rsid w:val="4DE6755C"/>
    <w:rsid w:val="4DE85E82"/>
    <w:rsid w:val="4DEB6377"/>
    <w:rsid w:val="4DEF23EA"/>
    <w:rsid w:val="4DF11B9F"/>
    <w:rsid w:val="4DF60C5B"/>
    <w:rsid w:val="4DF85277"/>
    <w:rsid w:val="4E06686F"/>
    <w:rsid w:val="4E0B1D1A"/>
    <w:rsid w:val="4E1C7A36"/>
    <w:rsid w:val="4E391564"/>
    <w:rsid w:val="4E3C4E24"/>
    <w:rsid w:val="4E6A1991"/>
    <w:rsid w:val="4E940979"/>
    <w:rsid w:val="4EA56E6D"/>
    <w:rsid w:val="4EB470B0"/>
    <w:rsid w:val="4EBC430A"/>
    <w:rsid w:val="4EC97B4E"/>
    <w:rsid w:val="4EEE4370"/>
    <w:rsid w:val="4F2833EB"/>
    <w:rsid w:val="4F304989"/>
    <w:rsid w:val="4F341D9E"/>
    <w:rsid w:val="4F4C48A4"/>
    <w:rsid w:val="4F4F716E"/>
    <w:rsid w:val="4F5C39D0"/>
    <w:rsid w:val="4F626994"/>
    <w:rsid w:val="4F660CD1"/>
    <w:rsid w:val="4F691C49"/>
    <w:rsid w:val="4F714FA1"/>
    <w:rsid w:val="4F824D7E"/>
    <w:rsid w:val="4FEC63D6"/>
    <w:rsid w:val="4FF7D450"/>
    <w:rsid w:val="50062032"/>
    <w:rsid w:val="5012466D"/>
    <w:rsid w:val="50203E3B"/>
    <w:rsid w:val="50234908"/>
    <w:rsid w:val="50245AB2"/>
    <w:rsid w:val="50521BD4"/>
    <w:rsid w:val="50622F2F"/>
    <w:rsid w:val="50645371"/>
    <w:rsid w:val="506762F6"/>
    <w:rsid w:val="507629FF"/>
    <w:rsid w:val="50923421"/>
    <w:rsid w:val="50A21AC0"/>
    <w:rsid w:val="50AA12A8"/>
    <w:rsid w:val="50AF1F6D"/>
    <w:rsid w:val="50B8067E"/>
    <w:rsid w:val="50C8686E"/>
    <w:rsid w:val="50CD151D"/>
    <w:rsid w:val="50CD4DA0"/>
    <w:rsid w:val="50D4472B"/>
    <w:rsid w:val="50D91050"/>
    <w:rsid w:val="50DB0924"/>
    <w:rsid w:val="50E0572E"/>
    <w:rsid w:val="50E449C6"/>
    <w:rsid w:val="50EB4351"/>
    <w:rsid w:val="50EE52D5"/>
    <w:rsid w:val="50F419E6"/>
    <w:rsid w:val="51170698"/>
    <w:rsid w:val="5119144D"/>
    <w:rsid w:val="513242BC"/>
    <w:rsid w:val="514172DE"/>
    <w:rsid w:val="514F30C0"/>
    <w:rsid w:val="5151351A"/>
    <w:rsid w:val="51532BB1"/>
    <w:rsid w:val="51750D79"/>
    <w:rsid w:val="51825B49"/>
    <w:rsid w:val="51905DD2"/>
    <w:rsid w:val="519D5BDA"/>
    <w:rsid w:val="51BF443D"/>
    <w:rsid w:val="51C25640"/>
    <w:rsid w:val="51CC6EC2"/>
    <w:rsid w:val="51D75590"/>
    <w:rsid w:val="51DC66B5"/>
    <w:rsid w:val="51DD06CC"/>
    <w:rsid w:val="51E57DEC"/>
    <w:rsid w:val="51EF86DF"/>
    <w:rsid w:val="525070F0"/>
    <w:rsid w:val="52524C16"/>
    <w:rsid w:val="526B217C"/>
    <w:rsid w:val="5275209D"/>
    <w:rsid w:val="52762A77"/>
    <w:rsid w:val="52781559"/>
    <w:rsid w:val="52811E68"/>
    <w:rsid w:val="528943B0"/>
    <w:rsid w:val="5294522F"/>
    <w:rsid w:val="52AA302D"/>
    <w:rsid w:val="52D551BB"/>
    <w:rsid w:val="52DA325B"/>
    <w:rsid w:val="52E23155"/>
    <w:rsid w:val="52F07F1E"/>
    <w:rsid w:val="53065A01"/>
    <w:rsid w:val="53085E5E"/>
    <w:rsid w:val="53103DB0"/>
    <w:rsid w:val="531F0A6D"/>
    <w:rsid w:val="532C36B9"/>
    <w:rsid w:val="533750CA"/>
    <w:rsid w:val="534A6576"/>
    <w:rsid w:val="53605111"/>
    <w:rsid w:val="537E1A3B"/>
    <w:rsid w:val="5394125E"/>
    <w:rsid w:val="53B27FDC"/>
    <w:rsid w:val="53D578AD"/>
    <w:rsid w:val="53EC42F2"/>
    <w:rsid w:val="53F80750"/>
    <w:rsid w:val="53F86766"/>
    <w:rsid w:val="53FBAE5C"/>
    <w:rsid w:val="54175782"/>
    <w:rsid w:val="541F2B8E"/>
    <w:rsid w:val="542C1497"/>
    <w:rsid w:val="542F3DCE"/>
    <w:rsid w:val="543A2E4A"/>
    <w:rsid w:val="54492049"/>
    <w:rsid w:val="547D1CF3"/>
    <w:rsid w:val="548A223D"/>
    <w:rsid w:val="54B21203"/>
    <w:rsid w:val="54F20968"/>
    <w:rsid w:val="5511700B"/>
    <w:rsid w:val="551268DF"/>
    <w:rsid w:val="553B4087"/>
    <w:rsid w:val="55452810"/>
    <w:rsid w:val="554C6BE3"/>
    <w:rsid w:val="55633225"/>
    <w:rsid w:val="556C4241"/>
    <w:rsid w:val="557519E2"/>
    <w:rsid w:val="558E406A"/>
    <w:rsid w:val="55B00902"/>
    <w:rsid w:val="55BB7153"/>
    <w:rsid w:val="55C027DF"/>
    <w:rsid w:val="55DD0C9B"/>
    <w:rsid w:val="55F06C20"/>
    <w:rsid w:val="55F35093"/>
    <w:rsid w:val="560D5C3D"/>
    <w:rsid w:val="562B400A"/>
    <w:rsid w:val="56503B63"/>
    <w:rsid w:val="56665134"/>
    <w:rsid w:val="56AEBDB3"/>
    <w:rsid w:val="56BF4844"/>
    <w:rsid w:val="56C360E3"/>
    <w:rsid w:val="56D33F81"/>
    <w:rsid w:val="56DD08EF"/>
    <w:rsid w:val="56F75D8C"/>
    <w:rsid w:val="5716066D"/>
    <w:rsid w:val="57174680"/>
    <w:rsid w:val="571B36E6"/>
    <w:rsid w:val="57221F02"/>
    <w:rsid w:val="572B4D8F"/>
    <w:rsid w:val="573E39BB"/>
    <w:rsid w:val="574A6804"/>
    <w:rsid w:val="5761526A"/>
    <w:rsid w:val="578A6C00"/>
    <w:rsid w:val="578C2978"/>
    <w:rsid w:val="578F4AB4"/>
    <w:rsid w:val="57A06424"/>
    <w:rsid w:val="57D52571"/>
    <w:rsid w:val="57E22340"/>
    <w:rsid w:val="58016AE1"/>
    <w:rsid w:val="58425BDC"/>
    <w:rsid w:val="5843365E"/>
    <w:rsid w:val="585D60C3"/>
    <w:rsid w:val="5860738B"/>
    <w:rsid w:val="58613E05"/>
    <w:rsid w:val="58733B38"/>
    <w:rsid w:val="5897524F"/>
    <w:rsid w:val="58AD791B"/>
    <w:rsid w:val="58AF298D"/>
    <w:rsid w:val="58B51D22"/>
    <w:rsid w:val="58B77EC9"/>
    <w:rsid w:val="58BC19DF"/>
    <w:rsid w:val="58BF0A29"/>
    <w:rsid w:val="58F55680"/>
    <w:rsid w:val="59097FF9"/>
    <w:rsid w:val="590F3861"/>
    <w:rsid w:val="59163636"/>
    <w:rsid w:val="592B61C1"/>
    <w:rsid w:val="594069F9"/>
    <w:rsid w:val="5942577F"/>
    <w:rsid w:val="594B23BF"/>
    <w:rsid w:val="594D5D0E"/>
    <w:rsid w:val="594E7013"/>
    <w:rsid w:val="594E7B72"/>
    <w:rsid w:val="59561490"/>
    <w:rsid w:val="596733BB"/>
    <w:rsid w:val="596B0B42"/>
    <w:rsid w:val="59805264"/>
    <w:rsid w:val="59910D81"/>
    <w:rsid w:val="59C13ACF"/>
    <w:rsid w:val="59D423B5"/>
    <w:rsid w:val="59EE111B"/>
    <w:rsid w:val="59EF6B9D"/>
    <w:rsid w:val="59F703B5"/>
    <w:rsid w:val="59FF13B5"/>
    <w:rsid w:val="5A081CC5"/>
    <w:rsid w:val="5A2413B5"/>
    <w:rsid w:val="5A315A59"/>
    <w:rsid w:val="5A355549"/>
    <w:rsid w:val="5A4E0252"/>
    <w:rsid w:val="5A5B0BED"/>
    <w:rsid w:val="5A5C5ECC"/>
    <w:rsid w:val="5A7476F4"/>
    <w:rsid w:val="5A777D7A"/>
    <w:rsid w:val="5A793A93"/>
    <w:rsid w:val="5A7A11AE"/>
    <w:rsid w:val="5A9D4737"/>
    <w:rsid w:val="5ABC4FEC"/>
    <w:rsid w:val="5AC82FFD"/>
    <w:rsid w:val="5ACD2D08"/>
    <w:rsid w:val="5AD20FEA"/>
    <w:rsid w:val="5AD75815"/>
    <w:rsid w:val="5AED79B9"/>
    <w:rsid w:val="5AEE74A6"/>
    <w:rsid w:val="5B405245"/>
    <w:rsid w:val="5B685104"/>
    <w:rsid w:val="5B6E10BF"/>
    <w:rsid w:val="5B81656C"/>
    <w:rsid w:val="5B8F2A37"/>
    <w:rsid w:val="5BB31D00"/>
    <w:rsid w:val="5BBB130B"/>
    <w:rsid w:val="5BD5353A"/>
    <w:rsid w:val="5BD60666"/>
    <w:rsid w:val="5C1874A6"/>
    <w:rsid w:val="5C427AAA"/>
    <w:rsid w:val="5C484BB0"/>
    <w:rsid w:val="5C545824"/>
    <w:rsid w:val="5C665027"/>
    <w:rsid w:val="5C6C6F31"/>
    <w:rsid w:val="5C80234E"/>
    <w:rsid w:val="5C894ABF"/>
    <w:rsid w:val="5C8B3F62"/>
    <w:rsid w:val="5C977095"/>
    <w:rsid w:val="5CB564CD"/>
    <w:rsid w:val="5CCB4D4C"/>
    <w:rsid w:val="5CD951F1"/>
    <w:rsid w:val="5CE9082B"/>
    <w:rsid w:val="5D0E453B"/>
    <w:rsid w:val="5D186A5C"/>
    <w:rsid w:val="5D211ED7"/>
    <w:rsid w:val="5D335675"/>
    <w:rsid w:val="5D350B78"/>
    <w:rsid w:val="5D35375C"/>
    <w:rsid w:val="5D4B0BE0"/>
    <w:rsid w:val="5D5C103F"/>
    <w:rsid w:val="5D68459D"/>
    <w:rsid w:val="5D6B1282"/>
    <w:rsid w:val="5D7F9F83"/>
    <w:rsid w:val="5D8365CC"/>
    <w:rsid w:val="5D885B92"/>
    <w:rsid w:val="5DB03139"/>
    <w:rsid w:val="5DB744C7"/>
    <w:rsid w:val="5DFA3361"/>
    <w:rsid w:val="5DFC1EDA"/>
    <w:rsid w:val="5E1B6804"/>
    <w:rsid w:val="5E5238CE"/>
    <w:rsid w:val="5E735B88"/>
    <w:rsid w:val="5E752DCF"/>
    <w:rsid w:val="5E85179E"/>
    <w:rsid w:val="5E8B6F2B"/>
    <w:rsid w:val="5E9B7625"/>
    <w:rsid w:val="5EA345D2"/>
    <w:rsid w:val="5EB86749"/>
    <w:rsid w:val="5EBF3C13"/>
    <w:rsid w:val="5ED837A7"/>
    <w:rsid w:val="5ED94AAC"/>
    <w:rsid w:val="5EDE74B5"/>
    <w:rsid w:val="5EE353BB"/>
    <w:rsid w:val="5EF046D1"/>
    <w:rsid w:val="5EF157B7"/>
    <w:rsid w:val="5EF236E4"/>
    <w:rsid w:val="5EFD0600"/>
    <w:rsid w:val="5F053371"/>
    <w:rsid w:val="5F092B01"/>
    <w:rsid w:val="5F0C25F1"/>
    <w:rsid w:val="5F1A1D4F"/>
    <w:rsid w:val="5F281CED"/>
    <w:rsid w:val="5F375C1C"/>
    <w:rsid w:val="5F3C34CB"/>
    <w:rsid w:val="5F432E56"/>
    <w:rsid w:val="5F6450CA"/>
    <w:rsid w:val="5F726F92"/>
    <w:rsid w:val="5F7E77B8"/>
    <w:rsid w:val="5F9C6D68"/>
    <w:rsid w:val="5FAF541F"/>
    <w:rsid w:val="5FB9DA51"/>
    <w:rsid w:val="5FE7BD31"/>
    <w:rsid w:val="5FEF1CF6"/>
    <w:rsid w:val="5FF71739"/>
    <w:rsid w:val="5FF74326"/>
    <w:rsid w:val="5FF81680"/>
    <w:rsid w:val="600C0AFA"/>
    <w:rsid w:val="60195438"/>
    <w:rsid w:val="60213E7A"/>
    <w:rsid w:val="60261490"/>
    <w:rsid w:val="60266CCC"/>
    <w:rsid w:val="602948A8"/>
    <w:rsid w:val="604069F6"/>
    <w:rsid w:val="6048342C"/>
    <w:rsid w:val="604E62A2"/>
    <w:rsid w:val="605B738C"/>
    <w:rsid w:val="60605BAC"/>
    <w:rsid w:val="60631B06"/>
    <w:rsid w:val="606B1E09"/>
    <w:rsid w:val="608368E3"/>
    <w:rsid w:val="60AA20C1"/>
    <w:rsid w:val="60B13450"/>
    <w:rsid w:val="60BB42CE"/>
    <w:rsid w:val="60BF63BA"/>
    <w:rsid w:val="60C2565D"/>
    <w:rsid w:val="60CD295D"/>
    <w:rsid w:val="60D96770"/>
    <w:rsid w:val="60EB5790"/>
    <w:rsid w:val="60F1769A"/>
    <w:rsid w:val="61140B7D"/>
    <w:rsid w:val="615C5A4F"/>
    <w:rsid w:val="6166423A"/>
    <w:rsid w:val="61747C73"/>
    <w:rsid w:val="617A1A94"/>
    <w:rsid w:val="618172C6"/>
    <w:rsid w:val="61B067D3"/>
    <w:rsid w:val="61BA4B64"/>
    <w:rsid w:val="61BF0FEC"/>
    <w:rsid w:val="61C56BBB"/>
    <w:rsid w:val="61E635CD"/>
    <w:rsid w:val="61F21F72"/>
    <w:rsid w:val="61FC4B9F"/>
    <w:rsid w:val="61FD304F"/>
    <w:rsid w:val="61FE4354"/>
    <w:rsid w:val="62055EDD"/>
    <w:rsid w:val="620F2070"/>
    <w:rsid w:val="621C616D"/>
    <w:rsid w:val="623F0640"/>
    <w:rsid w:val="624502F4"/>
    <w:rsid w:val="62554D62"/>
    <w:rsid w:val="62570027"/>
    <w:rsid w:val="62B2525D"/>
    <w:rsid w:val="62B56907"/>
    <w:rsid w:val="62C52F94"/>
    <w:rsid w:val="62E23D94"/>
    <w:rsid w:val="62E83F51"/>
    <w:rsid w:val="63097573"/>
    <w:rsid w:val="63141A74"/>
    <w:rsid w:val="63155479"/>
    <w:rsid w:val="631C34A7"/>
    <w:rsid w:val="632131B2"/>
    <w:rsid w:val="632153B0"/>
    <w:rsid w:val="63285608"/>
    <w:rsid w:val="632C3261"/>
    <w:rsid w:val="63365E8E"/>
    <w:rsid w:val="634258E5"/>
    <w:rsid w:val="63770981"/>
    <w:rsid w:val="63A159FD"/>
    <w:rsid w:val="63A6340B"/>
    <w:rsid w:val="63A728E8"/>
    <w:rsid w:val="63AD0817"/>
    <w:rsid w:val="63B05C41"/>
    <w:rsid w:val="63C03FB5"/>
    <w:rsid w:val="63C35974"/>
    <w:rsid w:val="640956AE"/>
    <w:rsid w:val="641B57B0"/>
    <w:rsid w:val="642F3009"/>
    <w:rsid w:val="64333354"/>
    <w:rsid w:val="64367476"/>
    <w:rsid w:val="643E324C"/>
    <w:rsid w:val="64403609"/>
    <w:rsid w:val="644A3F19"/>
    <w:rsid w:val="644E03A0"/>
    <w:rsid w:val="649C7F73"/>
    <w:rsid w:val="64B14BC2"/>
    <w:rsid w:val="64B16DC0"/>
    <w:rsid w:val="64C2705A"/>
    <w:rsid w:val="64CB5D4F"/>
    <w:rsid w:val="64E42046"/>
    <w:rsid w:val="650B0753"/>
    <w:rsid w:val="6511265D"/>
    <w:rsid w:val="651200DE"/>
    <w:rsid w:val="651673BB"/>
    <w:rsid w:val="654D24C2"/>
    <w:rsid w:val="657D7DA4"/>
    <w:rsid w:val="65837118"/>
    <w:rsid w:val="658B0713"/>
    <w:rsid w:val="659602A1"/>
    <w:rsid w:val="659970BE"/>
    <w:rsid w:val="65BA5074"/>
    <w:rsid w:val="65BB267B"/>
    <w:rsid w:val="65DB0E2C"/>
    <w:rsid w:val="66042274"/>
    <w:rsid w:val="6609788A"/>
    <w:rsid w:val="661204ED"/>
    <w:rsid w:val="661F4D98"/>
    <w:rsid w:val="663F14FE"/>
    <w:rsid w:val="665A7314"/>
    <w:rsid w:val="6663200A"/>
    <w:rsid w:val="66770C98"/>
    <w:rsid w:val="66855163"/>
    <w:rsid w:val="669166A1"/>
    <w:rsid w:val="66976C44"/>
    <w:rsid w:val="66A51361"/>
    <w:rsid w:val="66A9214A"/>
    <w:rsid w:val="66B477F6"/>
    <w:rsid w:val="66B61212"/>
    <w:rsid w:val="66C155B9"/>
    <w:rsid w:val="66C7577B"/>
    <w:rsid w:val="66C877B0"/>
    <w:rsid w:val="66CA0555"/>
    <w:rsid w:val="66CB2085"/>
    <w:rsid w:val="66DD7FDA"/>
    <w:rsid w:val="66FB71D3"/>
    <w:rsid w:val="67034111"/>
    <w:rsid w:val="6729654F"/>
    <w:rsid w:val="6740208B"/>
    <w:rsid w:val="675AD44F"/>
    <w:rsid w:val="6762412B"/>
    <w:rsid w:val="6773145F"/>
    <w:rsid w:val="67753429"/>
    <w:rsid w:val="6777F735"/>
    <w:rsid w:val="677B1F86"/>
    <w:rsid w:val="678C42CF"/>
    <w:rsid w:val="678E44EB"/>
    <w:rsid w:val="67B9020D"/>
    <w:rsid w:val="67D43165"/>
    <w:rsid w:val="67DC6B15"/>
    <w:rsid w:val="67F0485E"/>
    <w:rsid w:val="681349F0"/>
    <w:rsid w:val="68153C99"/>
    <w:rsid w:val="6817628E"/>
    <w:rsid w:val="685272B7"/>
    <w:rsid w:val="685314B5"/>
    <w:rsid w:val="686B482C"/>
    <w:rsid w:val="688B2364"/>
    <w:rsid w:val="689F6284"/>
    <w:rsid w:val="68A02082"/>
    <w:rsid w:val="68D26659"/>
    <w:rsid w:val="68DC0114"/>
    <w:rsid w:val="68DF6B1A"/>
    <w:rsid w:val="68E32614"/>
    <w:rsid w:val="690229DF"/>
    <w:rsid w:val="690802CD"/>
    <w:rsid w:val="693F340F"/>
    <w:rsid w:val="6949654A"/>
    <w:rsid w:val="69531548"/>
    <w:rsid w:val="69796510"/>
    <w:rsid w:val="69845BA5"/>
    <w:rsid w:val="699A1BA3"/>
    <w:rsid w:val="69A73642"/>
    <w:rsid w:val="69BD6509"/>
    <w:rsid w:val="69D00DEB"/>
    <w:rsid w:val="69DC778F"/>
    <w:rsid w:val="69E32EC5"/>
    <w:rsid w:val="69E40947"/>
    <w:rsid w:val="69EF4759"/>
    <w:rsid w:val="6A083105"/>
    <w:rsid w:val="6A087881"/>
    <w:rsid w:val="6A132A85"/>
    <w:rsid w:val="6A360751"/>
    <w:rsid w:val="6A4F3879"/>
    <w:rsid w:val="6A5A768C"/>
    <w:rsid w:val="6A5B510D"/>
    <w:rsid w:val="6A8954A7"/>
    <w:rsid w:val="6AA933EA"/>
    <w:rsid w:val="6AB56AA1"/>
    <w:rsid w:val="6AB64522"/>
    <w:rsid w:val="6AD330FA"/>
    <w:rsid w:val="6ADF0BB9"/>
    <w:rsid w:val="6ADF6E0B"/>
    <w:rsid w:val="6B31230E"/>
    <w:rsid w:val="6B380692"/>
    <w:rsid w:val="6B3B697A"/>
    <w:rsid w:val="6B3B6B14"/>
    <w:rsid w:val="6B6E0689"/>
    <w:rsid w:val="6B7A6175"/>
    <w:rsid w:val="6B845E74"/>
    <w:rsid w:val="6BF8541C"/>
    <w:rsid w:val="6C0677CC"/>
    <w:rsid w:val="6C0B55A7"/>
    <w:rsid w:val="6C14665D"/>
    <w:rsid w:val="6C22683E"/>
    <w:rsid w:val="6C2E0BDF"/>
    <w:rsid w:val="6C533261"/>
    <w:rsid w:val="6C7C2B89"/>
    <w:rsid w:val="6C7D68DC"/>
    <w:rsid w:val="6C853499"/>
    <w:rsid w:val="6CA24FC7"/>
    <w:rsid w:val="6CA67BE1"/>
    <w:rsid w:val="6CB247D7"/>
    <w:rsid w:val="6CB73B9C"/>
    <w:rsid w:val="6CC4275D"/>
    <w:rsid w:val="6CD5451D"/>
    <w:rsid w:val="6CED4783"/>
    <w:rsid w:val="6CF945BB"/>
    <w:rsid w:val="6D01750D"/>
    <w:rsid w:val="6D0240E7"/>
    <w:rsid w:val="6D172A07"/>
    <w:rsid w:val="6D370D3E"/>
    <w:rsid w:val="6D382F3C"/>
    <w:rsid w:val="6D5B6C1D"/>
    <w:rsid w:val="6D614100"/>
    <w:rsid w:val="6D621B82"/>
    <w:rsid w:val="6D632E87"/>
    <w:rsid w:val="6D885538"/>
    <w:rsid w:val="6D9632D6"/>
    <w:rsid w:val="6D995997"/>
    <w:rsid w:val="6D9C0A62"/>
    <w:rsid w:val="6DBB7999"/>
    <w:rsid w:val="6DC463A3"/>
    <w:rsid w:val="6DC9002B"/>
    <w:rsid w:val="6DD92AC5"/>
    <w:rsid w:val="6DDA2238"/>
    <w:rsid w:val="6DF40E20"/>
    <w:rsid w:val="6E03170B"/>
    <w:rsid w:val="6E2C05BA"/>
    <w:rsid w:val="6E3D6323"/>
    <w:rsid w:val="6E4400B8"/>
    <w:rsid w:val="6E4C7581"/>
    <w:rsid w:val="6E524D0E"/>
    <w:rsid w:val="6E566F2F"/>
    <w:rsid w:val="6E5F3C3B"/>
    <w:rsid w:val="6E697118"/>
    <w:rsid w:val="6E7004A6"/>
    <w:rsid w:val="6E79134A"/>
    <w:rsid w:val="6E7A30D3"/>
    <w:rsid w:val="6E907F65"/>
    <w:rsid w:val="6E9D17E9"/>
    <w:rsid w:val="6EB42D97"/>
    <w:rsid w:val="6ED92668"/>
    <w:rsid w:val="6F011A46"/>
    <w:rsid w:val="6F0425B3"/>
    <w:rsid w:val="6F173018"/>
    <w:rsid w:val="6F406688"/>
    <w:rsid w:val="6F4D6A71"/>
    <w:rsid w:val="6F541B76"/>
    <w:rsid w:val="6F55769C"/>
    <w:rsid w:val="6F63625D"/>
    <w:rsid w:val="6F991C7F"/>
    <w:rsid w:val="6F9A4CA5"/>
    <w:rsid w:val="6F9E1043"/>
    <w:rsid w:val="6FA50623"/>
    <w:rsid w:val="6FBB1BF5"/>
    <w:rsid w:val="6FDA1311"/>
    <w:rsid w:val="6FEA6319"/>
    <w:rsid w:val="6FEE7FB2"/>
    <w:rsid w:val="6FFB3A44"/>
    <w:rsid w:val="6FFB6495"/>
    <w:rsid w:val="6FFEA6A4"/>
    <w:rsid w:val="70065659"/>
    <w:rsid w:val="70076BE8"/>
    <w:rsid w:val="700D71E2"/>
    <w:rsid w:val="700F3CEF"/>
    <w:rsid w:val="701F6963"/>
    <w:rsid w:val="70393D95"/>
    <w:rsid w:val="70422316"/>
    <w:rsid w:val="70462105"/>
    <w:rsid w:val="70566DCE"/>
    <w:rsid w:val="70567B70"/>
    <w:rsid w:val="705A7660"/>
    <w:rsid w:val="705F6A24"/>
    <w:rsid w:val="70823542"/>
    <w:rsid w:val="709D48D3"/>
    <w:rsid w:val="70B0102E"/>
    <w:rsid w:val="70BE1584"/>
    <w:rsid w:val="70C920F0"/>
    <w:rsid w:val="70E37655"/>
    <w:rsid w:val="710E5D1A"/>
    <w:rsid w:val="71123A97"/>
    <w:rsid w:val="713C56D6"/>
    <w:rsid w:val="716D3CA6"/>
    <w:rsid w:val="71737DAE"/>
    <w:rsid w:val="717973E2"/>
    <w:rsid w:val="71810C1C"/>
    <w:rsid w:val="718A3256"/>
    <w:rsid w:val="71A43E00"/>
    <w:rsid w:val="71AC0BDC"/>
    <w:rsid w:val="71B82B42"/>
    <w:rsid w:val="71CA611F"/>
    <w:rsid w:val="71DE7E1D"/>
    <w:rsid w:val="71FD0E89"/>
    <w:rsid w:val="71FD64F5"/>
    <w:rsid w:val="72165B0A"/>
    <w:rsid w:val="72216C4D"/>
    <w:rsid w:val="72442376"/>
    <w:rsid w:val="72450ADE"/>
    <w:rsid w:val="72514A93"/>
    <w:rsid w:val="725C58D5"/>
    <w:rsid w:val="725D6F93"/>
    <w:rsid w:val="72621C35"/>
    <w:rsid w:val="727B38BE"/>
    <w:rsid w:val="728E2D77"/>
    <w:rsid w:val="72995E06"/>
    <w:rsid w:val="72A11576"/>
    <w:rsid w:val="72F07E08"/>
    <w:rsid w:val="72FD78B5"/>
    <w:rsid w:val="73035041"/>
    <w:rsid w:val="73116555"/>
    <w:rsid w:val="73131D48"/>
    <w:rsid w:val="731A4C66"/>
    <w:rsid w:val="73267AE8"/>
    <w:rsid w:val="732E3907"/>
    <w:rsid w:val="732E5CC1"/>
    <w:rsid w:val="73441F01"/>
    <w:rsid w:val="735C724B"/>
    <w:rsid w:val="736A5CEA"/>
    <w:rsid w:val="738D38A8"/>
    <w:rsid w:val="739369E5"/>
    <w:rsid w:val="739C06B8"/>
    <w:rsid w:val="739D19BD"/>
    <w:rsid w:val="73A25E44"/>
    <w:rsid w:val="73A6484A"/>
    <w:rsid w:val="73B21561"/>
    <w:rsid w:val="73C117A4"/>
    <w:rsid w:val="73CA0659"/>
    <w:rsid w:val="73D72D76"/>
    <w:rsid w:val="73DB0AB8"/>
    <w:rsid w:val="73EB753D"/>
    <w:rsid w:val="73F310C6"/>
    <w:rsid w:val="73F90A51"/>
    <w:rsid w:val="74031DBD"/>
    <w:rsid w:val="740622E5"/>
    <w:rsid w:val="74116287"/>
    <w:rsid w:val="743431B5"/>
    <w:rsid w:val="74393A30"/>
    <w:rsid w:val="743B4D3E"/>
    <w:rsid w:val="74416C47"/>
    <w:rsid w:val="74463A57"/>
    <w:rsid w:val="744F39DE"/>
    <w:rsid w:val="74506390"/>
    <w:rsid w:val="74512765"/>
    <w:rsid w:val="746217D9"/>
    <w:rsid w:val="74630481"/>
    <w:rsid w:val="7468238A"/>
    <w:rsid w:val="74730CF0"/>
    <w:rsid w:val="749DE23C"/>
    <w:rsid w:val="74B26F72"/>
    <w:rsid w:val="74CB0B2C"/>
    <w:rsid w:val="74E05C5A"/>
    <w:rsid w:val="74E50822"/>
    <w:rsid w:val="74E93BDD"/>
    <w:rsid w:val="74EA21C9"/>
    <w:rsid w:val="752601BF"/>
    <w:rsid w:val="752C594B"/>
    <w:rsid w:val="753913DE"/>
    <w:rsid w:val="753D30AC"/>
    <w:rsid w:val="753D4E5A"/>
    <w:rsid w:val="755A3C5E"/>
    <w:rsid w:val="758614DD"/>
    <w:rsid w:val="758B02BC"/>
    <w:rsid w:val="75AB270C"/>
    <w:rsid w:val="75AD3D8E"/>
    <w:rsid w:val="75BF5A2B"/>
    <w:rsid w:val="75D02172"/>
    <w:rsid w:val="75D05D09"/>
    <w:rsid w:val="75D54ADF"/>
    <w:rsid w:val="75D7705D"/>
    <w:rsid w:val="75F57E3E"/>
    <w:rsid w:val="75F80517"/>
    <w:rsid w:val="75FD0222"/>
    <w:rsid w:val="75FF1E96"/>
    <w:rsid w:val="75FFCF55"/>
    <w:rsid w:val="763E40F3"/>
    <w:rsid w:val="763F450F"/>
    <w:rsid w:val="76513E1A"/>
    <w:rsid w:val="7652792C"/>
    <w:rsid w:val="76623A0F"/>
    <w:rsid w:val="767825EE"/>
    <w:rsid w:val="768D0BCD"/>
    <w:rsid w:val="768F5592"/>
    <w:rsid w:val="76944F4E"/>
    <w:rsid w:val="76982C90"/>
    <w:rsid w:val="769A6A08"/>
    <w:rsid w:val="76AC04E9"/>
    <w:rsid w:val="76AF3B36"/>
    <w:rsid w:val="76BC23E0"/>
    <w:rsid w:val="76C94F71"/>
    <w:rsid w:val="76E1695F"/>
    <w:rsid w:val="770E4D00"/>
    <w:rsid w:val="772C162A"/>
    <w:rsid w:val="774F434C"/>
    <w:rsid w:val="775D16EB"/>
    <w:rsid w:val="776158EB"/>
    <w:rsid w:val="7763741C"/>
    <w:rsid w:val="77733BE8"/>
    <w:rsid w:val="77813724"/>
    <w:rsid w:val="778CCB39"/>
    <w:rsid w:val="77966CBE"/>
    <w:rsid w:val="779A56C5"/>
    <w:rsid w:val="779B69C9"/>
    <w:rsid w:val="77A64D5A"/>
    <w:rsid w:val="77A74FCE"/>
    <w:rsid w:val="77BFE458"/>
    <w:rsid w:val="77C01188"/>
    <w:rsid w:val="77DA5DCD"/>
    <w:rsid w:val="77EF7D19"/>
    <w:rsid w:val="77FA34D6"/>
    <w:rsid w:val="77FB27AA"/>
    <w:rsid w:val="77FE2FC7"/>
    <w:rsid w:val="78012F5A"/>
    <w:rsid w:val="78210A63"/>
    <w:rsid w:val="78292927"/>
    <w:rsid w:val="7840538D"/>
    <w:rsid w:val="7843265A"/>
    <w:rsid w:val="784D7AAA"/>
    <w:rsid w:val="78501970"/>
    <w:rsid w:val="785206F6"/>
    <w:rsid w:val="785E3A65"/>
    <w:rsid w:val="78622F0F"/>
    <w:rsid w:val="78630991"/>
    <w:rsid w:val="78C338C8"/>
    <w:rsid w:val="78C80335"/>
    <w:rsid w:val="78D244C8"/>
    <w:rsid w:val="78D9133E"/>
    <w:rsid w:val="78DD7B13"/>
    <w:rsid w:val="78F6532C"/>
    <w:rsid w:val="79156236"/>
    <w:rsid w:val="791A1F35"/>
    <w:rsid w:val="791C1E80"/>
    <w:rsid w:val="792627D5"/>
    <w:rsid w:val="79587FA4"/>
    <w:rsid w:val="79627363"/>
    <w:rsid w:val="796925B4"/>
    <w:rsid w:val="797A042B"/>
    <w:rsid w:val="79960FDD"/>
    <w:rsid w:val="79987709"/>
    <w:rsid w:val="799D7414"/>
    <w:rsid w:val="79A00398"/>
    <w:rsid w:val="79B002F1"/>
    <w:rsid w:val="79CB512B"/>
    <w:rsid w:val="79D143EB"/>
    <w:rsid w:val="79E10E02"/>
    <w:rsid w:val="7A057D3D"/>
    <w:rsid w:val="7A083C89"/>
    <w:rsid w:val="7A0A5C53"/>
    <w:rsid w:val="7A101951"/>
    <w:rsid w:val="7A405D73"/>
    <w:rsid w:val="7A560E98"/>
    <w:rsid w:val="7A5A304A"/>
    <w:rsid w:val="7A6D7F90"/>
    <w:rsid w:val="7A6F427A"/>
    <w:rsid w:val="7A832444"/>
    <w:rsid w:val="7A85352B"/>
    <w:rsid w:val="7A9416FC"/>
    <w:rsid w:val="7A9D6AC7"/>
    <w:rsid w:val="7AA716F4"/>
    <w:rsid w:val="7AAF67FA"/>
    <w:rsid w:val="7AB60FB7"/>
    <w:rsid w:val="7AC53E39"/>
    <w:rsid w:val="7ACB2084"/>
    <w:rsid w:val="7AEB800D"/>
    <w:rsid w:val="7B02475C"/>
    <w:rsid w:val="7B0A2FEF"/>
    <w:rsid w:val="7B334D35"/>
    <w:rsid w:val="7B391059"/>
    <w:rsid w:val="7B4909FD"/>
    <w:rsid w:val="7B4E50F2"/>
    <w:rsid w:val="7B7956A0"/>
    <w:rsid w:val="7B7B492E"/>
    <w:rsid w:val="7B841A35"/>
    <w:rsid w:val="7B954FD0"/>
    <w:rsid w:val="7BA1555F"/>
    <w:rsid w:val="7BA36009"/>
    <w:rsid w:val="7BAA3C71"/>
    <w:rsid w:val="7BB72F86"/>
    <w:rsid w:val="7BBD0AA3"/>
    <w:rsid w:val="7BC13A52"/>
    <w:rsid w:val="7BCD09AD"/>
    <w:rsid w:val="7BFDB032"/>
    <w:rsid w:val="7BFEACEB"/>
    <w:rsid w:val="7C0F1417"/>
    <w:rsid w:val="7C2D09C7"/>
    <w:rsid w:val="7C38005C"/>
    <w:rsid w:val="7C3D41AA"/>
    <w:rsid w:val="7C4D62CB"/>
    <w:rsid w:val="7C5C4760"/>
    <w:rsid w:val="7C686C61"/>
    <w:rsid w:val="7CA53A11"/>
    <w:rsid w:val="7CB57626"/>
    <w:rsid w:val="7CBE6305"/>
    <w:rsid w:val="7CC92281"/>
    <w:rsid w:val="7CCB75CB"/>
    <w:rsid w:val="7CE15FF1"/>
    <w:rsid w:val="7CED4C1D"/>
    <w:rsid w:val="7D0C1CE2"/>
    <w:rsid w:val="7D207BED"/>
    <w:rsid w:val="7D23E580"/>
    <w:rsid w:val="7D276660"/>
    <w:rsid w:val="7D2C7B60"/>
    <w:rsid w:val="7D36790A"/>
    <w:rsid w:val="7D3B0B84"/>
    <w:rsid w:val="7D5804B4"/>
    <w:rsid w:val="7D885400"/>
    <w:rsid w:val="7DA527B2"/>
    <w:rsid w:val="7DA60233"/>
    <w:rsid w:val="7DAC213C"/>
    <w:rsid w:val="7DB67EA0"/>
    <w:rsid w:val="7DBD96BA"/>
    <w:rsid w:val="7DBFA54A"/>
    <w:rsid w:val="7DC66335"/>
    <w:rsid w:val="7DCB716E"/>
    <w:rsid w:val="7DD97964"/>
    <w:rsid w:val="7DEA3E2D"/>
    <w:rsid w:val="7DF06F0E"/>
    <w:rsid w:val="7DF76D39"/>
    <w:rsid w:val="7DFE2D53"/>
    <w:rsid w:val="7E0B59D9"/>
    <w:rsid w:val="7E292D8B"/>
    <w:rsid w:val="7E2C5F0E"/>
    <w:rsid w:val="7E3E19A2"/>
    <w:rsid w:val="7E466AB8"/>
    <w:rsid w:val="7E4C09C1"/>
    <w:rsid w:val="7E5A355A"/>
    <w:rsid w:val="7E61605D"/>
    <w:rsid w:val="7E617E0B"/>
    <w:rsid w:val="7E762703"/>
    <w:rsid w:val="7E7741B6"/>
    <w:rsid w:val="7E795155"/>
    <w:rsid w:val="7E81225C"/>
    <w:rsid w:val="7E8A1B2B"/>
    <w:rsid w:val="7E93243A"/>
    <w:rsid w:val="7EAA7A04"/>
    <w:rsid w:val="7ECD2721"/>
    <w:rsid w:val="7EDAAA69"/>
    <w:rsid w:val="7EE747B5"/>
    <w:rsid w:val="7EEE5FCC"/>
    <w:rsid w:val="7EF511DA"/>
    <w:rsid w:val="7EFB8B44"/>
    <w:rsid w:val="7EFE58A1"/>
    <w:rsid w:val="7F2C0419"/>
    <w:rsid w:val="7F307D3A"/>
    <w:rsid w:val="7F511C2E"/>
    <w:rsid w:val="7F6F7618"/>
    <w:rsid w:val="7F6F8443"/>
    <w:rsid w:val="7F6F92AF"/>
    <w:rsid w:val="7F6FA510"/>
    <w:rsid w:val="7F732964"/>
    <w:rsid w:val="7F7EB985"/>
    <w:rsid w:val="7F7FF389"/>
    <w:rsid w:val="7F843F41"/>
    <w:rsid w:val="7F855D7C"/>
    <w:rsid w:val="7F957A5E"/>
    <w:rsid w:val="7FAE52D2"/>
    <w:rsid w:val="7FB623D9"/>
    <w:rsid w:val="7FB65A15"/>
    <w:rsid w:val="7FBA3C77"/>
    <w:rsid w:val="7FBB179D"/>
    <w:rsid w:val="7FC468A4"/>
    <w:rsid w:val="7FC72BF5"/>
    <w:rsid w:val="7FCFD796"/>
    <w:rsid w:val="7FD87FDF"/>
    <w:rsid w:val="7FDEBEC0"/>
    <w:rsid w:val="7FE27B5E"/>
    <w:rsid w:val="7FE377DD"/>
    <w:rsid w:val="7FE381B4"/>
    <w:rsid w:val="7FE874E8"/>
    <w:rsid w:val="7FEB2A3E"/>
    <w:rsid w:val="7FEDF07B"/>
    <w:rsid w:val="7FEF736C"/>
    <w:rsid w:val="7FF07699"/>
    <w:rsid w:val="7FF091D2"/>
    <w:rsid w:val="7FFEF5E7"/>
    <w:rsid w:val="7FFF3677"/>
    <w:rsid w:val="7FFFC8A3"/>
    <w:rsid w:val="8FE751B5"/>
    <w:rsid w:val="9FD8DC52"/>
    <w:rsid w:val="AFDA33CC"/>
    <w:rsid w:val="B0DDF169"/>
    <w:rsid w:val="B6FE4C10"/>
    <w:rsid w:val="BA9B6B8D"/>
    <w:rsid w:val="BB67A9E4"/>
    <w:rsid w:val="BD67A2D5"/>
    <w:rsid w:val="BD7C29A3"/>
    <w:rsid w:val="BDA7B6E2"/>
    <w:rsid w:val="BEA53C4F"/>
    <w:rsid w:val="BEE4E9C8"/>
    <w:rsid w:val="BF9ECD97"/>
    <w:rsid w:val="BFBCFD81"/>
    <w:rsid w:val="BFC740F5"/>
    <w:rsid w:val="BFF1905E"/>
    <w:rsid w:val="BFFBB59D"/>
    <w:rsid w:val="C3FF8CC3"/>
    <w:rsid w:val="CA3F74E5"/>
    <w:rsid w:val="CB51622C"/>
    <w:rsid w:val="D7FA7CCA"/>
    <w:rsid w:val="D9CE4FBE"/>
    <w:rsid w:val="DCF74E9A"/>
    <w:rsid w:val="DDBE2179"/>
    <w:rsid w:val="DE960B32"/>
    <w:rsid w:val="DED723EC"/>
    <w:rsid w:val="DEFA3948"/>
    <w:rsid w:val="DEFE9AE4"/>
    <w:rsid w:val="DFFD23CC"/>
    <w:rsid w:val="E7F36549"/>
    <w:rsid w:val="E9BF3CBE"/>
    <w:rsid w:val="E9FF8953"/>
    <w:rsid w:val="EB77C16D"/>
    <w:rsid w:val="ED7D1223"/>
    <w:rsid w:val="EDE72596"/>
    <w:rsid w:val="EDEDDEAF"/>
    <w:rsid w:val="EE4F3D90"/>
    <w:rsid w:val="EE6AAA5D"/>
    <w:rsid w:val="EF3F6E42"/>
    <w:rsid w:val="EF4DA885"/>
    <w:rsid w:val="EF6D1E59"/>
    <w:rsid w:val="EFABB2A2"/>
    <w:rsid w:val="EFDFA5B7"/>
    <w:rsid w:val="EFEFA875"/>
    <w:rsid w:val="F5676B03"/>
    <w:rsid w:val="F5DF34C6"/>
    <w:rsid w:val="F67D11CF"/>
    <w:rsid w:val="F6FF3D3C"/>
    <w:rsid w:val="F77FE683"/>
    <w:rsid w:val="F7FE0A2F"/>
    <w:rsid w:val="F7FE94C4"/>
    <w:rsid w:val="F9931E8E"/>
    <w:rsid w:val="F9D791CA"/>
    <w:rsid w:val="FB3B6962"/>
    <w:rsid w:val="FB67E80E"/>
    <w:rsid w:val="FB6E7EEC"/>
    <w:rsid w:val="FB74A73A"/>
    <w:rsid w:val="FBB93D5F"/>
    <w:rsid w:val="FBD4AE03"/>
    <w:rsid w:val="FDBA72DC"/>
    <w:rsid w:val="FED2D637"/>
    <w:rsid w:val="FEDF7717"/>
    <w:rsid w:val="FEF55127"/>
    <w:rsid w:val="FEFEE110"/>
    <w:rsid w:val="FEFF0262"/>
    <w:rsid w:val="FEFF2622"/>
    <w:rsid w:val="FF73D7F8"/>
    <w:rsid w:val="FF98BE9D"/>
    <w:rsid w:val="FFC74271"/>
    <w:rsid w:val="FFDA26C0"/>
    <w:rsid w:val="FFE5D34F"/>
    <w:rsid w:val="FFE952B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qFormat="1" w:uiPriority="99"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99"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iPriority="99" w:semiHidden="0" w:name="Body Text First Indent 2"/>
    <w:lsdException w:qFormat="1"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link w:val="52"/>
    <w:qFormat/>
    <w:uiPriority w:val="0"/>
    <w:pPr>
      <w:spacing w:line="579" w:lineRule="exact"/>
      <w:jc w:val="center"/>
      <w:outlineLvl w:val="0"/>
    </w:pPr>
    <w:rPr>
      <w:rFonts w:eastAsia="黑体"/>
      <w:kern w:val="44"/>
      <w:sz w:val="32"/>
    </w:rPr>
  </w:style>
  <w:style w:type="paragraph" w:styleId="3">
    <w:name w:val="heading 2"/>
    <w:basedOn w:val="1"/>
    <w:next w:val="1"/>
    <w:unhideWhenUsed/>
    <w:qFormat/>
    <w:uiPriority w:val="0"/>
    <w:pPr>
      <w:snapToGrid w:val="0"/>
      <w:spacing w:before="50" w:beforeLines="50" w:after="50" w:afterLines="50" w:line="579" w:lineRule="exact"/>
      <w:jc w:val="center"/>
      <w:outlineLvl w:val="1"/>
    </w:pPr>
    <w:rPr>
      <w:rFonts w:hint="eastAsia" w:ascii="宋体" w:hAnsi="宋体" w:eastAsia="楷体_GB2312" w:cs="Times New Roman"/>
      <w:bCs/>
      <w:kern w:val="0"/>
      <w:sz w:val="32"/>
      <w:szCs w:val="36"/>
    </w:rPr>
  </w:style>
  <w:style w:type="paragraph" w:styleId="4">
    <w:name w:val="heading 3"/>
    <w:basedOn w:val="1"/>
    <w:next w:val="1"/>
    <w:link w:val="46"/>
    <w:unhideWhenUsed/>
    <w:qFormat/>
    <w:uiPriority w:val="0"/>
    <w:pPr>
      <w:keepNext/>
      <w:keepLines/>
      <w:spacing w:before="260" w:after="260" w:line="413" w:lineRule="auto"/>
      <w:outlineLvl w:val="2"/>
    </w:pPr>
    <w:rPr>
      <w:rFonts w:ascii="Calibri" w:hAnsi="Calibri" w:eastAsia="仿宋_GB2312"/>
      <w:b/>
      <w:sz w:val="32"/>
    </w:rPr>
  </w:style>
  <w:style w:type="paragraph" w:styleId="5">
    <w:name w:val="heading 4"/>
    <w:basedOn w:val="1"/>
    <w:next w:val="1"/>
    <w:unhideWhenUsed/>
    <w:qFormat/>
    <w:uiPriority w:val="0"/>
    <w:pPr>
      <w:keepNext/>
      <w:keepLines/>
      <w:spacing w:before="280" w:after="290" w:line="372" w:lineRule="auto"/>
      <w:outlineLvl w:val="3"/>
    </w:pPr>
    <w:rPr>
      <w:rFonts w:ascii="Arial" w:hAnsi="Arial" w:eastAsia="黑体"/>
      <w:b/>
      <w:sz w:val="28"/>
    </w:rPr>
  </w:style>
  <w:style w:type="character" w:default="1" w:styleId="26">
    <w:name w:val="Default Paragraph Font"/>
    <w:semiHidden/>
    <w:unhideWhenUsed/>
    <w:qFormat/>
    <w:uiPriority w:val="1"/>
  </w:style>
  <w:style w:type="table" w:default="1" w:styleId="24">
    <w:name w:val="Normal Table"/>
    <w:semiHidden/>
    <w:unhideWhenUsed/>
    <w:qFormat/>
    <w:uiPriority w:val="99"/>
    <w:tblPr>
      <w:tblCellMar>
        <w:top w:w="0" w:type="dxa"/>
        <w:left w:w="108" w:type="dxa"/>
        <w:bottom w:w="0" w:type="dxa"/>
        <w:right w:w="108" w:type="dxa"/>
      </w:tblCellMar>
    </w:tblPr>
  </w:style>
  <w:style w:type="paragraph" w:styleId="6">
    <w:name w:val="Note Heading"/>
    <w:basedOn w:val="1"/>
    <w:next w:val="1"/>
    <w:qFormat/>
    <w:uiPriority w:val="0"/>
    <w:pPr>
      <w:ind w:firstLine="640" w:firstLineChars="200"/>
    </w:pPr>
    <w:rPr>
      <w:rFonts w:ascii="Times New Roman" w:hAnsi="Times New Roman" w:eastAsia="黑体"/>
    </w:rPr>
  </w:style>
  <w:style w:type="paragraph" w:styleId="7">
    <w:name w:val="Normal Indent"/>
    <w:basedOn w:val="1"/>
    <w:qFormat/>
    <w:uiPriority w:val="99"/>
    <w:pPr>
      <w:ind w:firstLine="420" w:firstLineChars="200"/>
    </w:pPr>
  </w:style>
  <w:style w:type="paragraph" w:styleId="8">
    <w:name w:val="annotation text"/>
    <w:basedOn w:val="1"/>
    <w:link w:val="48"/>
    <w:qFormat/>
    <w:uiPriority w:val="0"/>
    <w:pPr>
      <w:jc w:val="left"/>
    </w:pPr>
  </w:style>
  <w:style w:type="paragraph" w:styleId="9">
    <w:name w:val="Body Text"/>
    <w:basedOn w:val="1"/>
    <w:unhideWhenUsed/>
    <w:qFormat/>
    <w:uiPriority w:val="99"/>
    <w:pPr>
      <w:spacing w:after="120"/>
    </w:pPr>
    <w:rPr>
      <w:rFonts w:ascii="Calibri" w:hAnsi="Calibri" w:eastAsia="宋体" w:cs="Times New Roman"/>
    </w:rPr>
  </w:style>
  <w:style w:type="paragraph" w:styleId="10">
    <w:name w:val="Body Text Indent"/>
    <w:basedOn w:val="1"/>
    <w:unhideWhenUsed/>
    <w:qFormat/>
    <w:uiPriority w:val="99"/>
    <w:pPr>
      <w:spacing w:after="120"/>
      <w:ind w:left="420" w:leftChars="200"/>
    </w:pPr>
  </w:style>
  <w:style w:type="paragraph" w:styleId="11">
    <w:name w:val="toc 3"/>
    <w:basedOn w:val="1"/>
    <w:next w:val="1"/>
    <w:qFormat/>
    <w:uiPriority w:val="0"/>
    <w:pPr>
      <w:spacing w:line="560" w:lineRule="exact"/>
      <w:ind w:firstLine="640" w:firstLineChars="200"/>
      <w:jc w:val="left"/>
    </w:pPr>
    <w:rPr>
      <w:rFonts w:ascii="楷体" w:hAnsi="楷体" w:eastAsia="楷体" w:cs="仿宋"/>
      <w:sz w:val="32"/>
      <w:szCs w:val="32"/>
    </w:rPr>
  </w:style>
  <w:style w:type="paragraph" w:styleId="12">
    <w:name w:val="Plain Text"/>
    <w:basedOn w:val="1"/>
    <w:qFormat/>
    <w:uiPriority w:val="0"/>
    <w:rPr>
      <w:rFonts w:ascii="宋体" w:hAnsi="Courier New" w:eastAsia="宋体" w:cs="Courier New"/>
      <w:sz w:val="24"/>
    </w:rPr>
  </w:style>
  <w:style w:type="paragraph" w:styleId="13">
    <w:name w:val="Date"/>
    <w:basedOn w:val="1"/>
    <w:next w:val="1"/>
    <w:qFormat/>
    <w:uiPriority w:val="0"/>
    <w:pPr>
      <w:ind w:left="100" w:firstLine="3584"/>
    </w:pPr>
    <w:rPr>
      <w:rFonts w:ascii="Times New Roman"/>
    </w:rPr>
  </w:style>
  <w:style w:type="paragraph" w:styleId="14">
    <w:name w:val="Balloon Text"/>
    <w:basedOn w:val="1"/>
    <w:qFormat/>
    <w:uiPriority w:val="0"/>
    <w:rPr>
      <w:sz w:val="18"/>
    </w:rPr>
  </w:style>
  <w:style w:type="paragraph" w:styleId="15">
    <w:name w:val="footer"/>
    <w:basedOn w:val="1"/>
    <w:qFormat/>
    <w:uiPriority w:val="0"/>
    <w:pPr>
      <w:tabs>
        <w:tab w:val="center" w:pos="4153"/>
        <w:tab w:val="right" w:pos="8306"/>
      </w:tabs>
      <w:snapToGrid w:val="0"/>
      <w:jc w:val="left"/>
    </w:pPr>
    <w:rPr>
      <w:sz w:val="18"/>
    </w:rPr>
  </w:style>
  <w:style w:type="paragraph" w:styleId="16">
    <w:name w:val="header"/>
    <w:basedOn w:val="1"/>
    <w:next w:val="13"/>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7">
    <w:name w:val="toc 1"/>
    <w:basedOn w:val="1"/>
    <w:next w:val="1"/>
    <w:qFormat/>
    <w:uiPriority w:val="0"/>
  </w:style>
  <w:style w:type="paragraph" w:styleId="18">
    <w:name w:val="footnote text"/>
    <w:basedOn w:val="1"/>
    <w:semiHidden/>
    <w:unhideWhenUsed/>
    <w:qFormat/>
    <w:uiPriority w:val="99"/>
    <w:pPr>
      <w:snapToGrid w:val="0"/>
      <w:jc w:val="left"/>
    </w:pPr>
    <w:rPr>
      <w:sz w:val="18"/>
    </w:rPr>
  </w:style>
  <w:style w:type="paragraph" w:styleId="19">
    <w:name w:val="toc 2"/>
    <w:basedOn w:val="1"/>
    <w:next w:val="1"/>
    <w:qFormat/>
    <w:uiPriority w:val="0"/>
    <w:pPr>
      <w:ind w:left="420" w:leftChars="200"/>
    </w:pPr>
  </w:style>
  <w:style w:type="paragraph" w:styleId="20">
    <w:name w:val="Body Text 2"/>
    <w:basedOn w:val="1"/>
    <w:next w:val="21"/>
    <w:qFormat/>
    <w:uiPriority w:val="0"/>
    <w:pPr>
      <w:ind w:firstLine="1840"/>
    </w:pPr>
    <w:rPr>
      <w:rFonts w:ascii="Calibri" w:hAnsi="Calibri" w:eastAsia="宋体" w:cs="Times New Roman"/>
    </w:rPr>
  </w:style>
  <w:style w:type="paragraph" w:styleId="21">
    <w:name w:val="Body Text First Indent 2"/>
    <w:basedOn w:val="1"/>
    <w:next w:val="1"/>
    <w:unhideWhenUsed/>
    <w:qFormat/>
    <w:uiPriority w:val="99"/>
    <w:pPr>
      <w:ind w:firstLine="420" w:firstLineChars="200"/>
    </w:pPr>
    <w:rPr>
      <w:rFonts w:ascii="Calibri" w:hAnsi="Calibri" w:eastAsia="宋体" w:cs="Times New Roman"/>
      <w:szCs w:val="21"/>
    </w:rPr>
  </w:style>
  <w:style w:type="paragraph" w:styleId="22">
    <w:name w:val="Normal (Web)"/>
    <w:basedOn w:val="1"/>
    <w:unhideWhenUsed/>
    <w:qFormat/>
    <w:uiPriority w:val="99"/>
    <w:pPr>
      <w:widowControl/>
      <w:spacing w:before="100" w:beforeAutospacing="1" w:after="100" w:afterAutospacing="1"/>
      <w:jc w:val="left"/>
    </w:pPr>
    <w:rPr>
      <w:rFonts w:ascii="宋体" w:hAnsi="宋体" w:eastAsia="宋体" w:cs="宋体"/>
      <w:kern w:val="0"/>
      <w:sz w:val="24"/>
    </w:rPr>
  </w:style>
  <w:style w:type="paragraph" w:styleId="23">
    <w:name w:val="annotation subject"/>
    <w:basedOn w:val="8"/>
    <w:next w:val="8"/>
    <w:link w:val="49"/>
    <w:qFormat/>
    <w:uiPriority w:val="0"/>
    <w:rPr>
      <w:b/>
      <w:bCs/>
    </w:rPr>
  </w:style>
  <w:style w:type="table" w:styleId="25">
    <w:name w:val="Table Grid"/>
    <w:basedOn w:val="2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7">
    <w:name w:val="Strong"/>
    <w:basedOn w:val="26"/>
    <w:qFormat/>
    <w:uiPriority w:val="0"/>
    <w:rPr>
      <w:b/>
    </w:rPr>
  </w:style>
  <w:style w:type="character" w:styleId="28">
    <w:name w:val="Emphasis"/>
    <w:basedOn w:val="26"/>
    <w:qFormat/>
    <w:uiPriority w:val="0"/>
    <w:rPr>
      <w:i/>
    </w:rPr>
  </w:style>
  <w:style w:type="character" w:styleId="29">
    <w:name w:val="Hyperlink"/>
    <w:basedOn w:val="26"/>
    <w:qFormat/>
    <w:uiPriority w:val="0"/>
    <w:rPr>
      <w:color w:val="0000FF"/>
      <w:u w:val="single"/>
    </w:rPr>
  </w:style>
  <w:style w:type="character" w:styleId="30">
    <w:name w:val="annotation reference"/>
    <w:basedOn w:val="26"/>
    <w:qFormat/>
    <w:uiPriority w:val="0"/>
    <w:rPr>
      <w:sz w:val="21"/>
      <w:szCs w:val="21"/>
    </w:rPr>
  </w:style>
  <w:style w:type="paragraph" w:customStyle="1" w:styleId="31">
    <w:name w:val="正文-公1"/>
    <w:basedOn w:val="1"/>
    <w:qFormat/>
    <w:uiPriority w:val="99"/>
    <w:pPr>
      <w:ind w:firstLine="200" w:firstLineChars="200"/>
    </w:pPr>
  </w:style>
  <w:style w:type="table" w:customStyle="1" w:styleId="32">
    <w:name w:val="Table Normal"/>
    <w:semiHidden/>
    <w:unhideWhenUsed/>
    <w:qFormat/>
    <w:uiPriority w:val="0"/>
    <w:tblPr>
      <w:tblCellMar>
        <w:top w:w="0" w:type="dxa"/>
        <w:left w:w="0" w:type="dxa"/>
        <w:bottom w:w="0" w:type="dxa"/>
        <w:right w:w="0" w:type="dxa"/>
      </w:tblCellMar>
    </w:tblPr>
  </w:style>
  <w:style w:type="paragraph" w:customStyle="1" w:styleId="33">
    <w:name w:val="Table Text"/>
    <w:basedOn w:val="1"/>
    <w:semiHidden/>
    <w:qFormat/>
    <w:uiPriority w:val="0"/>
    <w:rPr>
      <w:rFonts w:ascii="仿宋_GB2312" w:hAnsi="仿宋_GB2312" w:eastAsia="仿宋_GB2312" w:cs="仿宋_GB2312"/>
      <w:sz w:val="24"/>
      <w:lang w:eastAsia="en-US"/>
    </w:rPr>
  </w:style>
  <w:style w:type="character" w:customStyle="1" w:styleId="34">
    <w:name w:val="font21"/>
    <w:basedOn w:val="26"/>
    <w:qFormat/>
    <w:uiPriority w:val="0"/>
    <w:rPr>
      <w:rFonts w:hint="eastAsia" w:ascii="仿宋_GB2312" w:eastAsia="仿宋_GB2312" w:cs="仿宋_GB2312"/>
      <w:color w:val="000000"/>
      <w:sz w:val="18"/>
      <w:szCs w:val="18"/>
      <w:u w:val="none"/>
    </w:rPr>
  </w:style>
  <w:style w:type="character" w:customStyle="1" w:styleId="35">
    <w:name w:val="font11"/>
    <w:basedOn w:val="26"/>
    <w:qFormat/>
    <w:uiPriority w:val="0"/>
    <w:rPr>
      <w:rFonts w:hint="default" w:ascii="Times New Roman" w:hAnsi="Times New Roman" w:cs="Times New Roman"/>
      <w:color w:val="000000"/>
      <w:sz w:val="18"/>
      <w:szCs w:val="18"/>
      <w:u w:val="none"/>
    </w:rPr>
  </w:style>
  <w:style w:type="character" w:customStyle="1" w:styleId="36">
    <w:name w:val="font41"/>
    <w:basedOn w:val="26"/>
    <w:qFormat/>
    <w:uiPriority w:val="0"/>
    <w:rPr>
      <w:rFonts w:hint="eastAsia" w:ascii="仿宋_GB2312" w:eastAsia="仿宋_GB2312" w:cs="仿宋_GB2312"/>
      <w:color w:val="000000"/>
      <w:sz w:val="18"/>
      <w:szCs w:val="18"/>
      <w:u w:val="none"/>
    </w:rPr>
  </w:style>
  <w:style w:type="character" w:customStyle="1" w:styleId="37">
    <w:name w:val="font61"/>
    <w:basedOn w:val="26"/>
    <w:qFormat/>
    <w:uiPriority w:val="0"/>
    <w:rPr>
      <w:rFonts w:hint="default" w:ascii="Times New Roman" w:hAnsi="Times New Roman" w:cs="Times New Roman"/>
      <w:color w:val="000000"/>
      <w:sz w:val="18"/>
      <w:szCs w:val="18"/>
      <w:u w:val="none"/>
    </w:rPr>
  </w:style>
  <w:style w:type="paragraph" w:styleId="38">
    <w:name w:val="List Paragraph"/>
    <w:basedOn w:val="1"/>
    <w:unhideWhenUsed/>
    <w:qFormat/>
    <w:uiPriority w:val="99"/>
    <w:pPr>
      <w:ind w:firstLine="420" w:firstLineChars="200"/>
    </w:pPr>
  </w:style>
  <w:style w:type="character" w:customStyle="1" w:styleId="39">
    <w:name w:val="正文1 Char"/>
    <w:link w:val="40"/>
    <w:qFormat/>
    <w:uiPriority w:val="0"/>
    <w:rPr>
      <w:rFonts w:ascii="仿宋_GB2312" w:hAnsi="Times New Roman" w:eastAsia="仿宋_GB2312"/>
      <w:kern w:val="0"/>
      <w:sz w:val="30"/>
      <w:szCs w:val="30"/>
    </w:rPr>
  </w:style>
  <w:style w:type="paragraph" w:customStyle="1" w:styleId="40">
    <w:name w:val="正文1"/>
    <w:basedOn w:val="1"/>
    <w:link w:val="39"/>
    <w:qFormat/>
    <w:uiPriority w:val="0"/>
    <w:pPr>
      <w:spacing w:line="620" w:lineRule="exact"/>
      <w:ind w:firstLine="600" w:firstLineChars="200"/>
    </w:pPr>
    <w:rPr>
      <w:rFonts w:ascii="仿宋_GB2312" w:hAnsi="Times New Roman" w:eastAsia="仿宋_GB2312"/>
      <w:kern w:val="0"/>
      <w:sz w:val="30"/>
      <w:szCs w:val="30"/>
    </w:rPr>
  </w:style>
  <w:style w:type="paragraph" w:customStyle="1" w:styleId="41">
    <w:name w:val="段"/>
    <w:next w:val="1"/>
    <w:qFormat/>
    <w:uiPriority w:val="0"/>
    <w:pPr>
      <w:autoSpaceDE w:val="0"/>
      <w:autoSpaceDN w:val="0"/>
      <w:ind w:firstLine="200"/>
      <w:jc w:val="center"/>
    </w:pPr>
    <w:rPr>
      <w:rFonts w:ascii="宋体" w:hAnsi="Calibri" w:eastAsia="宋体" w:cs="宋体"/>
      <w:sz w:val="21"/>
      <w:szCs w:val="21"/>
      <w:lang w:val="en-US" w:eastAsia="zh-CN" w:bidi="ar-SA"/>
    </w:rPr>
  </w:style>
  <w:style w:type="paragraph" w:customStyle="1" w:styleId="42">
    <w:name w:val="WPSOffice手动目录 1"/>
    <w:qFormat/>
    <w:uiPriority w:val="0"/>
    <w:rPr>
      <w:rFonts w:ascii="Times New Roman" w:hAnsi="Times New Roman" w:eastAsia="宋体" w:cs="Times New Roman"/>
      <w:lang w:val="en-US" w:eastAsia="zh-CN" w:bidi="ar-SA"/>
    </w:rPr>
  </w:style>
  <w:style w:type="paragraph" w:customStyle="1" w:styleId="43">
    <w:name w:val="WPSOffice手动目录 2"/>
    <w:qFormat/>
    <w:uiPriority w:val="0"/>
    <w:pPr>
      <w:ind w:left="200" w:leftChars="200"/>
    </w:pPr>
    <w:rPr>
      <w:rFonts w:ascii="Times New Roman" w:hAnsi="Times New Roman" w:eastAsia="宋体" w:cs="Times New Roman"/>
      <w:lang w:val="en-US" w:eastAsia="zh-CN" w:bidi="ar-SA"/>
    </w:rPr>
  </w:style>
  <w:style w:type="character" w:customStyle="1" w:styleId="44">
    <w:name w:val="三级标题 Char"/>
    <w:link w:val="45"/>
    <w:qFormat/>
    <w:uiPriority w:val="0"/>
    <w:rPr>
      <w:rFonts w:hint="eastAsia" w:ascii="Times New Roman" w:hAnsi="Times New Roman" w:eastAsia="仿宋_GB2312" w:cs="仿宋_GB2312"/>
      <w:b/>
      <w:bCs/>
      <w:sz w:val="32"/>
      <w:szCs w:val="32"/>
    </w:rPr>
  </w:style>
  <w:style w:type="paragraph" w:customStyle="1" w:styleId="45">
    <w:name w:val="三级标题"/>
    <w:basedOn w:val="1"/>
    <w:link w:val="44"/>
    <w:qFormat/>
    <w:uiPriority w:val="0"/>
    <w:pPr>
      <w:spacing w:line="560" w:lineRule="exact"/>
      <w:ind w:firstLine="420" w:firstLineChars="200"/>
    </w:pPr>
    <w:rPr>
      <w:rFonts w:hint="eastAsia" w:ascii="Times New Roman" w:hAnsi="Times New Roman" w:eastAsia="仿宋_GB2312" w:cs="仿宋_GB2312"/>
      <w:b/>
      <w:bCs/>
      <w:sz w:val="32"/>
      <w:szCs w:val="32"/>
    </w:rPr>
  </w:style>
  <w:style w:type="character" w:customStyle="1" w:styleId="46">
    <w:name w:val="标题 3 字符"/>
    <w:link w:val="4"/>
    <w:qFormat/>
    <w:uiPriority w:val="0"/>
    <w:rPr>
      <w:rFonts w:ascii="Calibri" w:hAnsi="Calibri" w:eastAsia="仿宋_GB2312"/>
      <w:b/>
      <w:sz w:val="32"/>
    </w:rPr>
  </w:style>
  <w:style w:type="paragraph" w:customStyle="1" w:styleId="47">
    <w:name w:val="修订1"/>
    <w:hidden/>
    <w:unhideWhenUsed/>
    <w:qFormat/>
    <w:uiPriority w:val="99"/>
    <w:rPr>
      <w:rFonts w:ascii="Calibri" w:hAnsi="Calibri" w:eastAsia="宋体" w:cs="Times New Roman"/>
      <w:kern w:val="2"/>
      <w:sz w:val="21"/>
      <w:szCs w:val="24"/>
      <w:lang w:val="en-US" w:eastAsia="zh-CN" w:bidi="ar-SA"/>
    </w:rPr>
  </w:style>
  <w:style w:type="character" w:customStyle="1" w:styleId="48">
    <w:name w:val="批注文字 字符"/>
    <w:basedOn w:val="26"/>
    <w:link w:val="8"/>
    <w:qFormat/>
    <w:uiPriority w:val="0"/>
    <w:rPr>
      <w:rFonts w:ascii="Calibri" w:hAnsi="Calibri" w:eastAsia="宋体" w:cs="Times New Roman"/>
      <w:kern w:val="2"/>
      <w:sz w:val="21"/>
      <w:szCs w:val="24"/>
    </w:rPr>
  </w:style>
  <w:style w:type="character" w:customStyle="1" w:styleId="49">
    <w:name w:val="批注主题 字符"/>
    <w:basedOn w:val="48"/>
    <w:link w:val="23"/>
    <w:qFormat/>
    <w:uiPriority w:val="0"/>
    <w:rPr>
      <w:rFonts w:ascii="Calibri" w:hAnsi="Calibri" w:eastAsia="宋体" w:cs="Times New Roman"/>
      <w:b/>
      <w:bCs/>
      <w:kern w:val="2"/>
      <w:sz w:val="21"/>
      <w:szCs w:val="24"/>
    </w:rPr>
  </w:style>
  <w:style w:type="paragraph" w:customStyle="1" w:styleId="50">
    <w:name w:val="修订2"/>
    <w:hidden/>
    <w:unhideWhenUsed/>
    <w:qFormat/>
    <w:uiPriority w:val="99"/>
    <w:rPr>
      <w:rFonts w:ascii="Calibri" w:hAnsi="Calibri" w:eastAsia="宋体" w:cs="Times New Roman"/>
      <w:kern w:val="2"/>
      <w:sz w:val="21"/>
      <w:szCs w:val="24"/>
      <w:lang w:val="en-US" w:eastAsia="zh-CN" w:bidi="ar-SA"/>
    </w:rPr>
  </w:style>
  <w:style w:type="paragraph" w:customStyle="1" w:styleId="51">
    <w:name w:val="Revision"/>
    <w:hidden/>
    <w:unhideWhenUsed/>
    <w:qFormat/>
    <w:uiPriority w:val="99"/>
    <w:rPr>
      <w:rFonts w:ascii="Calibri" w:hAnsi="Calibri" w:eastAsia="宋体" w:cs="Times New Roman"/>
      <w:kern w:val="2"/>
      <w:sz w:val="21"/>
      <w:szCs w:val="24"/>
      <w:lang w:val="en-US" w:eastAsia="zh-CN" w:bidi="ar-SA"/>
    </w:rPr>
  </w:style>
  <w:style w:type="character" w:customStyle="1" w:styleId="52">
    <w:name w:val="标题 1 Char"/>
    <w:link w:val="2"/>
    <w:qFormat/>
    <w:uiPriority w:val="0"/>
    <w:rPr>
      <w:rFonts w:eastAsia="黑体"/>
      <w:kern w:val="44"/>
      <w:sz w:val="32"/>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73b6d4fe-c6e8-42c0-a2a8-a5f957b118ec</errorID>
      <errorWord>夯实基础、全面发力</errorWord>
      <group>L1_Grammar</group>
      <groupName>语法问题</groupName>
      <ability>L2_Order</ability>
      <abilityName>语序不当</abilityName>
      <candidateList>
        <item>全面发力、夯实基础</item>
      </candidateList>
      <explain>句子可能没有遵循时空、逻辑顺序，或者介词、关联词等位置不当。</explain>
      <paraID>21270360</paraID>
      <start>33</start>
      <end>42</end>
      <status>unmodified</status>
      <modifiedWord/>
      <trackRevisions>false</trackRevisions>
    </reviewItem>
    <reviewItem>
      <errorID>7e48d6a3-39c5-49b9-aefb-96b93e40af04</errorID>
      <errorWord>时期是</errorWord>
      <group>L1_Word</group>
      <groupName>字词问题</groupName>
      <ability>L2_Typo</ability>
      <abilityName>字词错误</abilityName>
      <candidateList>
        <item>时期</item>
      </candidateList>
      <explain/>
      <paraID>6100B8AA</paraID>
      <start>10</start>
      <end>13</end>
      <status>unmodified</status>
      <modifiedWord/>
      <trackRevisions>false</trackRevisions>
    </reviewItem>
    <reviewItem>
      <errorID>b831212e-24a1-44e9-a8c2-8196ea46be4f</errorID>
      <errorWord>田</errorWord>
      <group>L1_Word</group>
      <groupName>字词问题</groupName>
      <ability>L2_Typo</ability>
      <abilityName>字词错误</abilityName>
      <candidateList>
        <item>主</item>
      </candidateList>
      <explain>存在字形相近字词的误用。</explain>
      <paraID>172C76E4</paraID>
      <start>173</start>
      <end>174</end>
      <status>unmodified</status>
      <modifiedWord/>
      <trackRevisions>false</trackRevisions>
    </reviewItem>
    <reviewItem>
      <errorID>5037699d-7302-42f7-80c1-fcc5a7e484fc</errorID>
      <errorWord>推动经济质的有效提升和量的合理增长</errorWord>
      <group>L1_Political</group>
      <groupName>政治性问题</groupName>
      <ability>L2_Keyword</ability>
      <abilityName>固定表述</abilityName>
      <candidateList>
        <item>推动经济实现质的有效提升和量的合理增长</item>
      </candidateList>
      <explain>词汇“推动经济实现质的有效提升和量的合理增长”在特定场景下为固定表述形式，请确认此处的“推动经济质的有效提升和量的合理增长”是否存在不当。</explain>
      <paraID>2015D7A2</paraID>
      <start>261</start>
      <end>278</end>
      <status>unmodified</status>
      <modifiedWord/>
      <trackRevisions>false</trackRevisions>
    </reviewItem>
    <reviewItem>
      <errorID>c6e905b7-1d42-4e8b-9a44-780a0d22e704</errorID>
      <errorWord>制度型开放稳步扩大</errorWord>
      <group>L1_Political</group>
      <groupName>政治性问题</groupName>
      <ability>L2_Keyword</ability>
      <abilityName>固定表述</abilityName>
      <candidateList>
        <item>稳步扩大制度型开放</item>
      </candidateList>
      <explain>词汇“稳步扩大制度型开放”在特定场景下为固定表述形式，请确认此处的“制度型开放稳步扩大”是否存在不当。</explain>
      <paraID>227CF04B</paraID>
      <start>85</start>
      <end>94</end>
      <status>unmodified</status>
      <modifiedWord/>
      <trackRevisions>false</trackRevisions>
    </reviewItem>
    <reviewItem>
      <errorID>c7487273-3b34-4bff-bfbb-3b28e3b0815e</errorID>
      <errorWord>更好服务</errorWord>
      <group>L1_Word</group>
      <groupName>字词问题</groupName>
      <ability>L2_Typo</ability>
      <abilityName>字词错误</abilityName>
      <candidateList>
        <item>更好地服务</item>
      </candidateList>
      <explain/>
      <paraID>5B9527A7</paraID>
      <start>57</start>
      <end>61</end>
      <status>unmodified</status>
      <modifiedWord/>
      <trackRevisions>false</trackRevisions>
    </reviewItem>
    <reviewItem>
      <errorID>9b3a45f2-1686-414c-86fe-c75e4d82ff83</errorID>
      <errorWord>推动治理体系和治理能力现代化</errorWord>
      <group>L1_Political</group>
      <groupName>政治性问题</groupName>
      <ability>L2_Unpolitical</ability>
      <abilityName>政治敏感错误</abilityName>
      <candidateList>
        <item>推进国家治理体系和治理能力现代化</item>
      </candidateList>
      <explain/>
      <paraID>7DE2FC82</paraID>
      <start>7</start>
      <end>21</end>
      <status>unmodified</status>
      <modifiedWord/>
      <trackRevisions>false</trackRevisions>
    </reviewItem>
    <reviewItem>
      <errorID>050155d1-92f8-495a-9b8d-0483c8cba86a</errorID>
      <errorWord>＞</errorWord>
      <group>L1_Format</group>
      <groupName>格式问题</groupName>
      <ability>L2_HalfPunc_CN</ability>
      <abilityName>全半角问题</abilityName>
      <candidateList>
        <item>&gt;</item>
      </candidateList>
      <explain>文本全半角错误。</explain>
      <paraID>41FE5D05</paraID>
      <start>0</start>
      <end>1</end>
      <status>unmodified</status>
      <modifiedWord/>
      <trackRevisions>false</trackRevisions>
    </reviewItem>
    <reviewItem>
      <errorID>4dd1e994-76e0-495e-8a1f-2dcaa551dfbe</errorID>
      <errorWord>＞</errorWord>
      <group>L1_Format</group>
      <groupName>格式问题</groupName>
      <ability>L2_HalfPunc_CN</ability>
      <abilityName>全半角问题</abilityName>
      <candidateList>
        <item>&gt;</item>
      </candidateList>
      <explain>文本全半角错误。</explain>
      <paraID>7CBA7CD4</paraID>
      <start>0</start>
      <end>1</end>
      <status>unmodified</status>
      <modifiedWord/>
      <trackRevisions>false</trackRevisions>
    </reviewItem>
    <reviewItem>
      <errorID>0a3ca034-8282-433c-8064-07f04051bf3d</errorID>
      <errorWord>重大慢病过早死亡率</errorWord>
      <group>L1_Political</group>
      <groupName>政治性问题</groupName>
      <ability>L2_Keyword</ability>
      <abilityName>固定表述</abilityName>
      <candidateList>
        <item>重大慢性病过早死亡率</item>
      </candidateList>
      <explain>词汇“重大慢性病过早死亡率”在特定场景下为固定表述形式，请确认此处的“重大慢病过早死亡率”是否存在不当。</explain>
      <paraID>34A73D2B</paraID>
      <start>2</start>
      <end>11</end>
      <status>unmodified</status>
      <modifiedWord/>
      <trackRevisions>false</trackRevisions>
    </reviewItem>
    <reviewItem>
      <errorID>a44b5818-c3a1-48a8-a3f1-9a1c22ec1271</errorID>
      <errorWord>＜</errorWord>
      <group>L1_Format</group>
      <groupName>格式问题</groupName>
      <ability>L2_HalfPunc_CN</ability>
      <abilityName>全半角问题</abilityName>
      <candidateList>
        <item>&lt;</item>
      </candidateList>
      <explain>文本全半角错误。</explain>
      <paraID> FCC550B</paraID>
      <start>0</start>
      <end>1</end>
      <status>unmodified</status>
      <modifiedWord/>
      <trackRevisions>false</trackRevisions>
    </reviewItem>
    <reviewItem>
      <errorID>7eb98371-1dd7-449c-82d1-74863171da13</errorID>
      <errorWord>＞</errorWord>
      <group>L1_Format</group>
      <groupName>格式问题</groupName>
      <ability>L2_HalfPunc_CN</ability>
      <abilityName>全半角问题</abilityName>
      <candidateList>
        <item>&gt;</item>
      </candidateList>
      <explain>文本全半角错误。</explain>
      <paraID>48021825</paraID>
      <start>0</start>
      <end>1</end>
      <status>unmodified</status>
      <modifiedWord/>
      <trackRevisions>false</trackRevisions>
    </reviewItem>
    <reviewItem>
      <errorID>1d290fe8-7489-471d-a87d-f3dff510d2ed</errorID>
      <errorWord>智改数转网联</errorWord>
      <group>L1_Political</group>
      <groupName>政治性问题</groupName>
      <ability>L2_Keyword</ability>
      <abilityName>固定表述</abilityName>
      <candidateList>
        <item>“智改数转网联”</item>
      </candidateList>
      <explain>注意检查当前固定表述标点是否使用规范。</explain>
      <paraID> DC495C8</paraID>
      <start>130</start>
      <end>136</end>
      <status>unmodified</status>
      <modifiedWord/>
      <trackRevisions>false</trackRevisions>
    </reviewItem>
    <reviewItem>
      <errorID>8cb5f0e3-a6dd-4e11-8c84-7c5da021ea8e</errorID>
      <errorWord>职务科技成果赋能改革</errorWord>
      <group>L1_Political</group>
      <groupName>政治性问题</groupName>
      <ability>L2_Keyword</ability>
      <abilityName>固定表述</abilityName>
      <candidateList>
        <item>职务科技成果赋权改革</item>
      </candidateList>
      <explain>词汇“职务科技成果赋权改革”在特定场景下为固定表述形式，请确认此处的“职务科技成果赋能改革”是否存在不当。</explain>
      <paraID>55E2639C</paraID>
      <start>243</start>
      <end>253</end>
      <status>unmodified</status>
      <modifiedWord/>
      <trackRevisions>false</trackRevisions>
    </reviewItem>
    <reviewItem>
      <errorID>3c2eb07d-c004-4115-a4e8-3d0cfd397ccc</errorID>
      <errorWord>共建共享共治</errorWord>
      <group>L1_Word</group>
      <groupName>字词问题</groupName>
      <ability>L2_Typo</ability>
      <abilityName>字词错误</abilityName>
      <candidateList>
        <item>共建共治共享</item>
      </candidateList>
      <explain/>
      <paraID>17078DA2</paraID>
      <start>2</start>
      <end>8</end>
      <status>unmodified</status>
      <modifiedWord/>
      <trackRevisions>false</trackRevisions>
    </reviewItem>
    <reviewItem>
      <errorID>538a7fc7-1532-4529-b1ab-dc2e65a2f189</errorID>
      <errorWord>省委省政府</errorWord>
      <group>L1_Political</group>
      <groupName>政治性问题</groupName>
      <ability>L2_Keyword</ability>
      <abilityName>固定表述</abilityName>
      <candidateList>
        <item>省委、省政府</item>
      </candidateList>
      <explain>注意检查当前固定表述标点是否使用规范。</explain>
      <paraID>3BD41182</paraID>
      <start>46</start>
      <end>51</end>
      <status>unmodified</status>
      <modifiedWord/>
      <trackRevisions>false</trackRevisions>
    </reviewItem>
    <reviewItem>
      <errorID>52b16663-f6ee-4282-b3fb-f553ee530516</errorID>
      <errorWord>智改数转网联</errorWord>
      <group>L1_Political</group>
      <groupName>政治性问题</groupName>
      <ability>L2_Keyword</ability>
      <abilityName>固定表述</abilityName>
      <candidateList>
        <item>“智改数转网联”</item>
      </candidateList>
      <explain>注意检查当前固定表述标点是否使用规范。</explain>
      <paraID> A567826</paraID>
      <start>156</start>
      <end>162</end>
      <status>unmodified</status>
      <modifiedWord/>
      <trackRevisions>false</trackRevisions>
    </reviewItem>
    <reviewItem>
      <errorID>44e17e49-6248-491f-bf11-2ebf9df22c72</errorID>
      <errorWord>兜实基层“三保”底线</errorWord>
      <group>L1_Political</group>
      <groupName>政治性问题</groupName>
      <ability>L2_Keyword</ability>
      <abilityName>固定表述</abilityName>
      <candidateList>
        <item>兜牢基层“三保”底线</item>
      </candidateList>
      <explain>词汇“兜牢基层“三保”底线”在特定场景下为固定表述形式，请确认此处的“兜实基层“三保”底线”是否存在不当。</explain>
      <paraID> 7F2CD10</paraID>
      <start>191</start>
      <end>201</end>
      <status>unmodified</status>
      <modifiedWord/>
      <trackRevisions>false</trackRevisions>
    </reviewItem>
    <reviewItem>
      <errorID>d945c6e4-80c0-43c1-9667-75985d44b07c</errorID>
      <errorWord>更好服务</errorWord>
      <group>L1_Word</group>
      <groupName>字词问题</groupName>
      <ability>L2_Typo</ability>
      <abilityName>字词错误</abilityName>
      <candidateList>
        <item>更好地服务</item>
      </candidateList>
      <explain/>
      <paraID>6843B9C2</paraID>
      <start>82</start>
      <end>86</end>
      <status>unmodified</status>
      <modifiedWord/>
      <trackRevisions>false</trackRevisions>
    </reviewItem>
    <reviewItem>
      <errorID>efc57878-7621-4806-a0a9-794fbc9925e8</errorID>
      <errorWord>“免申即享”“直达快享”</errorWord>
      <group>L1_Political</group>
      <groupName>政治性问题</groupName>
      <ability>L2_Keyword</ability>
      <abilityName>固定表述</abilityName>
      <candidateList>
        <item>“免申即享、直达快享”</item>
      </candidateList>
      <explain>注意检查当前固定表述标点是否使用规范。</explain>
      <paraID>286DB2B4</paraID>
      <start>291</start>
      <end>303</end>
      <status>unmodified</status>
      <modifiedWord/>
      <trackRevisions>false</trackRevisions>
    </reviewItem>
    <reviewItem>
      <errorID>4de118ad-d32a-4bcf-b896-040cdf578065</errorID>
      <errorWord>，</errorWord>
      <group>L1_Word</group>
      <groupName>字词问题</groupName>
      <ability>L2_Typo</ability>
      <abilityName>字词错误</abilityName>
      <candidateList>
        <item>，以</item>
      </candidateList>
      <explain/>
      <paraID>18C10609</paraID>
      <start>38</start>
      <end>39</end>
      <status>unmodified</status>
      <modifiedWord/>
      <trackRevisions>false</trackRevisions>
    </reviewItem>
    <reviewItem>
      <errorID>c27d23d3-c54b-4dd2-9326-d40b3dfa97f2</errorID>
      <errorWord>家</errorWord>
      <group>L1_Word</group>
      <groupName>字词问题</groupName>
      <ability>L2_Typo</ability>
      <abilityName>字词错误</abilityName>
      <candidateList>
        <item>家和</item>
      </candidateList>
      <explain/>
      <paraID>20C69CCC</paraID>
      <start>58</start>
      <end>59</end>
      <status>unmodified</status>
      <modifiedWord/>
      <trackRevisions>false</trackRevisions>
    </reviewItem>
    <reviewItem>
      <errorID>0617bad8-b9f0-4711-b48f-b381e0ffe709</errorID>
      <errorWord>农旅的融合发展</errorWord>
      <group>L1_Political</group>
      <groupName>政治性问题</groupName>
      <ability>L2_Keyword</ability>
      <abilityName>固定表述</abilityName>
      <candidateList>
        <item>农文旅融合发展</item>
      </candidateList>
      <explain>词汇“农文旅融合发展”在特定场景下为固定表述形式，请确认此处的“农旅的融合发展”是否存在不当。</explain>
      <paraID>60522EA4</paraID>
      <start>122</start>
      <end>129</end>
      <status>unmodified</status>
      <modifiedWord/>
      <trackRevisions>false</trackRevisions>
    </reviewItem>
    <reviewItem>
      <errorID>dfbf3cc2-3dd2-4e2e-a0c2-ebde44cdb168</errorID>
      <errorWord>城乡公共服务均等化</errorWord>
      <group>L1_Political</group>
      <groupName>政治性问题</groupName>
      <ability>L2_Keyword</ability>
      <abilityName>固定表述</abilityName>
      <candidateList>
        <item>城乡基本公共服务均等化</item>
      </candidateList>
      <explain>词汇“城乡基本公共服务均等化”在特定场景下为固定表述形式，请确认此处的“城乡公共服务均等化”是否存在不当。</explain>
      <paraID>46952719</paraID>
      <start>45</start>
      <end>54</end>
      <status>unmodified</status>
      <modifiedWord/>
      <trackRevisions>false</trackRevisions>
    </reviewItem>
    <reviewItem>
      <errorID>d8dae3a0-132f-4fbe-b81d-0867afacf1a3</errorID>
      <errorWord>“三权”分置</errorWord>
      <group>L1_Political</group>
      <groupName>政治性问题</groupName>
      <ability>L2_Keyword</ability>
      <abilityName>固定表述</abilityName>
      <candidateList>
        <item>“三权分置”</item>
      </candidateList>
      <explain>注意检查当前固定表述标点是否使用规范。</explain>
      <paraID>46952719</paraID>
      <start>70</start>
      <end>76</end>
      <status>unmodified</status>
      <modifiedWord/>
      <trackRevisions>false</trackRevisions>
    </reviewItem>
    <reviewItem>
      <errorID>c397d57d-6ed1-4a85-969c-96d9bcd8f118</errorID>
      <errorWord>深入到</errorWord>
      <group>L1_Word</group>
      <groupName>字词问题</groupName>
      <ability>L2_Typo</ability>
      <abilityName>字词错误</abilityName>
      <candidateList>
        <item>深入</item>
      </candidateList>
      <explain/>
      <paraID>7C04A225</paraID>
      <start>172</start>
      <end>175</end>
      <status>unmodified</status>
      <modifiedWord/>
      <trackRevisions>false</trackRevisions>
    </reviewItem>
    <reviewItem>
      <errorID>36be2ea6-af24-4fde-985c-8fd78e8c3b08</errorID>
      <errorWord>主动应对人口老龄化</errorWord>
      <group>L1_Political</group>
      <groupName>政治性问题</groupName>
      <ability>L2_Unpolitical</ability>
      <abilityName>政治敏感错误</abilityName>
      <candidateList>
        <item>积极应对人口老龄化</item>
      </candidateList>
      <explain/>
      <paraID>72015D36</paraID>
      <start>21</start>
      <end>30</end>
      <status>unmodified</status>
      <modifiedWord/>
      <trackRevisions>false</trackRevisions>
    </reviewItem>
    <reviewItem>
      <errorID>5c6e70c9-6036-468d-9989-81186cf25879</errorID>
      <errorWord>公益慈善等事业</errorWord>
      <group>L1_Political</group>
      <groupName>政治性问题</groupName>
      <ability>L2_Keyword</ability>
      <abilityName>固定表述</abilityName>
      <candidateList>
        <item>公益慈善事业</item>
      </candidateList>
      <explain>词汇“公益慈善事业”在特定场景下为固定表述形式，请确认此处的“公益慈善等事业”是否存在不当。</explain>
      <paraID> 99914A7</paraID>
      <start>319</start>
      <end>326</end>
      <status>unmodified</status>
      <modifiedWord/>
      <trackRevisions>false</trackRevisions>
    </reviewItem>
    <reviewItem>
      <errorID>c480eb69-3b93-49ae-9179-661cc21403fb</errorID>
      <errorWord>劳动报酬提高和劳动生产率提高基本同步</errorWord>
      <group>L1_Political</group>
      <groupName>政治性问题</groupName>
      <ability>L2_Keyword</ability>
      <abilityName>固定表述</abilityName>
      <candidateList>
        <item>劳动报酬提高与劳动生产率提高基本同步</item>
      </candidateList>
      <explain>词汇“劳动报酬提高与劳动生产率提高基本同步”在特定场景下为固定表述形式，请确认此处的“劳动报酬提高和劳动生产率提高基本同步”是否存在不当。</explain>
      <paraID> 282D79D</paraID>
      <start>18</start>
      <end>36</end>
      <status>unmodified</status>
      <modifiedWord/>
      <trackRevisions>false</trackRevisions>
    </reviewItem>
    <reviewItem>
      <errorID>67cef26c-17e7-479e-9e95-c2752d9becc6</errorID>
      <errorWord>生态红线</errorWord>
      <group>L1_Political</group>
      <groupName>政治性问题</groupName>
      <ability>L2_Unpolitical</ability>
      <abilityName>政治敏感错误</abilityName>
      <candidateList>
        <item>生态保护红线</item>
      </candidateList>
      <explain/>
      <paraID>5BA12DE3</paraID>
      <start>43</start>
      <end>47</end>
      <status>unmodified</status>
      <modifiedWord/>
      <trackRevisions>false</trackRevisions>
    </reviewItem>
    <reviewItem>
      <errorID>e78749c0-6e28-4d88-a6b4-a881fd32f3b3</errorID>
      <errorWord>生态系统的质量和稳定性</errorWord>
      <group>L1_Political</group>
      <groupName>政治性问题</groupName>
      <ability>L2_Keyword</ability>
      <abilityName>固定表述</abilityName>
      <candidateList>
        <item>生态系统质量和稳定性</item>
      </candidateList>
      <explain>词汇“生态系统质量和稳定性”在特定场景下为固定表述形式，请确认此处的“生态系统的质量和稳定性”是否存在不当。</explain>
      <paraID>2BF1F038</paraID>
      <start>58</start>
      <end>69</end>
      <status>unmodified</status>
      <modifiedWord/>
      <trackRevisions>false</trackRevisions>
    </reviewItem>
    <reviewItem>
      <errorID>551a0532-03c0-430c-be3d-5bd2b61fa23e</errorID>
      <errorWord>打伞破网</errorWord>
      <group>L1_Political</group>
      <groupName>政治性问题</groupName>
      <ability>L2_Keyword</ability>
      <abilityName>固定表述</abilityName>
      <candidateList>
        <item>“打伞破网”</item>
      </candidateList>
      <explain>注意检查当前固定表述标点是否使用规范。</explain>
      <paraID>481D06B0</paraID>
      <start>262</start>
      <end>266</end>
      <status>unmodified</status>
      <modifiedWord/>
      <trackRevisions>false</trackRevisions>
    </reviewItem>
    <reviewItem>
      <errorID>e2aaacd3-35c6-4c88-bc85-a9affdec338f</errorID>
      <errorWord>“十五五”规划组织实施</errorWord>
      <group>L1_Political</group>
      <groupName>政治性问题</groupName>
      <ability>L2_Keyword</ability>
      <abilityName>固定表述</abilityName>
      <candidateList>
        <item>“十五五”规划编制实施</item>
      </candidateList>
      <explain>词汇““十五五”规划编制实施”在特定场景下为固定表述形式，请确认此处的““十五五”规划组织实施”是否存在不当。</explain>
      <paraID>2ACF05CA</paraID>
      <start>146</start>
      <end>157</end>
      <status>unmodified</status>
      <modifiedWord/>
      <trackRevisions>false</trackRevisions>
    </reviewItem>
    <reviewItem>
      <errorID>54a68608-a3a8-46b2-90e9-3a32cbb2281f</errorID>
      <errorWord>党组织政治功能与组织功能</errorWord>
      <group>L1_Political</group>
      <groupName>政治性问题</groupName>
      <ability>L2_Keyword</ability>
      <abilityName>固定表述</abilityName>
      <candidateList>
        <item>党组织政治功能和组织功能</item>
      </candidateList>
      <explain>词汇“党组织政治功能和组织功能”在特定场景下为固定表述形式，请确认此处的“党组织政治功能与组织功能”是否存在不当。</explain>
      <paraID>2ACF05CA</paraID>
      <start>356</start>
      <end>368</end>
      <status>unmodified</status>
      <modifiedWord/>
      <trackRevisions>false</trackRevisions>
    </reviewItem>
    <reviewItem>
      <errorID>75ff6092-3d85-4fbc-92e5-afedfd3a662f</errorID>
      <errorWord>两个确立</errorWord>
      <group>L1_Political</group>
      <groupName>政治性问题</groupName>
      <ability>L2_Keyword</ability>
      <abilityName>固定表述</abilityName>
      <candidateList>
        <item>“两个确立”</item>
      </candidateList>
      <explain>注意检查当前固定表述标点是否使用规范。</explain>
      <paraID>6EE7AE09</paraID>
      <start>0</start>
      <end>4</end>
      <status>unmodified</status>
      <modifiedWord/>
      <trackRevisions>false</trackRevisions>
    </reviewItem>
    <reviewItem>
      <errorID>90bef8f3-27b8-4728-87c0-44ea6e76a289</errorID>
      <errorWord>两个维护</errorWord>
      <group>L1_Political</group>
      <groupName>政治性问题</groupName>
      <ability>L2_Keyword</ability>
      <abilityName>固定表述</abilityName>
      <candidateList>
        <item>“两个维护”</item>
      </candidateList>
      <explain>注意检查当前固定表述标点是否使用规范。</explain>
      <paraID>20FE8F03</paraID>
      <start>0</start>
      <end>4</end>
      <status>unmodified</status>
      <modifiedWord/>
      <trackRevisions>false</trackRevisions>
    </reviewItem>
    <reviewItem>
      <errorID>a9030c78-adb4-4432-897e-8aa6b03565f4</errorID>
      <errorWord>四个意识</errorWord>
      <group>L1_Political</group>
      <groupName>政治性问题</groupName>
      <ability>L2_Keyword</ability>
      <abilityName>固定表述</abilityName>
      <candidateList>
        <item>“四个意识”</item>
      </candidateList>
      <explain>注意检查当前固定表述标点是否使用规范。</explain>
      <paraID>2F4479A5</paraID>
      <start>0</start>
      <end>4</end>
      <status>unmodified</status>
      <modifiedWord/>
      <trackRevisions>false</trackRevisions>
    </reviewItem>
    <reviewItem>
      <errorID>ccc59cb6-62cd-403e-b849-14ed7222f666</errorID>
      <errorWord>四个自信</errorWord>
      <group>L1_Political</group>
      <groupName>政治性问题</groupName>
      <ability>L2_Keyword</ability>
      <abilityName>固定表述</abilityName>
      <candidateList>
        <item>“四个自信”</item>
      </candidateList>
      <explain>注意检查当前固定表述标点是否使用规范。</explain>
      <paraID>5AA815A9</paraID>
      <start>0</start>
      <end>4</end>
      <status>unmodified</status>
      <modifiedWord/>
      <trackRevisions>false</trackRevisions>
    </reviewItem>
    <reviewItem>
      <errorID>6d20d6d1-8b67-43f8-951f-28135d2a73a6</errorID>
      <errorWord>五统一、一开放</errorWord>
      <group>L1_Political</group>
      <groupName>政治性问题</groupName>
      <ability>L2_Keyword</ability>
      <abilityName>固定表述</abilityName>
      <candidateList>
        <item>“五统一、一开放”</item>
      </candidateList>
      <explain>注意检查当前固定表述标点是否使用规范。</explain>
      <paraID>1408439E</paraID>
      <start>0</start>
      <end>7</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bde0a91-f837-4ecb-b678-96fd6debb4ff}">
  <ds:schemaRefs/>
</ds:datastoreItem>
</file>

<file path=docProps/app.xml><?xml version="1.0" encoding="utf-8"?>
<Properties xmlns="http://schemas.openxmlformats.org/officeDocument/2006/extended-properties" xmlns:vt="http://schemas.openxmlformats.org/officeDocument/2006/docPropsVTypes">
  <Template>Normal</Template>
  <Pages>68</Pages>
  <Words>19992</Words>
  <Characters>20307</Characters>
  <Lines>1</Lines>
  <Paragraphs>1</Paragraphs>
  <TotalTime>42</TotalTime>
  <ScaleCrop>false</ScaleCrop>
  <LinksUpToDate>false</LinksUpToDate>
  <CharactersWithSpaces>20504</CharactersWithSpaces>
  <Application>WPS Office_12.1.0.26899_F1E327BC-269C-435d-A152-05C5408002CA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2025-04-24T08:52:00Z</dcterms:created>
  <dc:creator>dmq</dc:creator>
  <cp:lastModifiedBy>容与</cp:lastModifiedBy>
  <cp:lastPrinted>2026-05-14T06:20:00Z</cp:lastPrinted>
  <dcterms:modified xsi:type="dcterms:W3CDTF">2026-08-17T02:09:28Z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2052-12.1.0.26899</vt:lpwstr>
  </property>
  <property fmtid="{D5CDD505-2E9C-101B-9397-08002B2CF9AE}" pid="3" name="ICV">
    <vt:lpwstr>9AF7C9BDCD0F40E4A936E1E25DFAB0DA_13</vt:lpwstr>
  </property>
  <property fmtid="{D5CDD505-2E9C-101B-9397-08002B2CF9AE}" pid="4" name="KSOTemplateDocerSaveRecord">
    <vt:lpwstr>eyJoZGlkIjoiOGMyYzVlNDU4ODY1NmZkZjM2NjUzYzE3MWIwNzc5NDYiLCJ1c2VySWQiOiI0MDgwODE4MTAifQ==</vt:lpwstr>
  </property>
</Properties>
</file>