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40" w:lineRule="exact"/>
        <w:jc w:val="center"/>
        <w:rPr>
          <w:rFonts w:ascii="方正小标宋简体" w:hAnsi="方正小标宋简体" w:eastAsia="方正小标宋简体" w:cs="黑体"/>
          <w:color w:val="333333"/>
          <w:kern w:val="0"/>
          <w:sz w:val="44"/>
          <w:szCs w:val="44"/>
          <w:shd w:val="clear" w:color="auto" w:fill="FFFFFF"/>
        </w:rPr>
      </w:pPr>
      <w:r>
        <w:rPr>
          <w:rFonts w:hint="eastAsia" w:ascii="方正小标宋简体" w:hAnsi="方正小标宋简体" w:eastAsia="方正小标宋简体" w:cs="黑体"/>
          <w:color w:val="333333"/>
          <w:kern w:val="0"/>
          <w:sz w:val="44"/>
          <w:szCs w:val="44"/>
          <w:shd w:val="clear" w:color="auto" w:fill="FFFFFF"/>
        </w:rPr>
        <w:t>吴江区行政审批局关于征求《苏州市吴江区中介机构星级评价管理实施办法》</w:t>
      </w:r>
    </w:p>
    <w:p>
      <w:pPr>
        <w:widowControl/>
        <w:shd w:val="clear" w:color="auto" w:fill="FFFFFF"/>
        <w:spacing w:line="640" w:lineRule="exact"/>
        <w:jc w:val="center"/>
        <w:rPr>
          <w:rFonts w:ascii="方正小标宋简体" w:hAnsi="方正小标宋简体" w:eastAsia="方正小标宋简体" w:cs="黑体"/>
          <w:color w:val="333333"/>
          <w:kern w:val="0"/>
          <w:sz w:val="44"/>
          <w:szCs w:val="44"/>
          <w:shd w:val="clear" w:color="auto" w:fill="FFFFFF"/>
        </w:rPr>
      </w:pPr>
      <w:r>
        <w:rPr>
          <w:rFonts w:hint="eastAsia" w:ascii="方正小标宋简体" w:hAnsi="方正小标宋简体" w:eastAsia="方正小标宋简体" w:cs="黑体"/>
          <w:color w:val="333333"/>
          <w:kern w:val="0"/>
          <w:sz w:val="44"/>
          <w:szCs w:val="44"/>
          <w:shd w:val="clear" w:color="auto" w:fill="FFFFFF"/>
        </w:rPr>
        <w:t>（征求意见稿）意见的公告</w:t>
      </w:r>
    </w:p>
    <w:p>
      <w:pPr>
        <w:widowControl/>
        <w:shd w:val="clear" w:color="auto" w:fill="FFFFFF"/>
        <w:spacing w:line="578" w:lineRule="exact"/>
        <w:jc w:val="center"/>
        <w:rPr>
          <w:rFonts w:ascii="方正小标宋简体" w:hAnsi="方正小标宋简体" w:eastAsia="方正小标宋简体" w:cs="黑体"/>
          <w:color w:val="333333"/>
          <w:kern w:val="0"/>
          <w:sz w:val="44"/>
          <w:szCs w:val="44"/>
          <w:shd w:val="clear" w:color="auto" w:fill="FFFFFF"/>
        </w:rPr>
      </w:pP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为贯彻落实《江苏省社会信用条例》，根据《国务院关于加快推进政务服务标准化规范化便利化的指导意见》等文件要求，我局草拟了《苏州市吴江区中介机构星级评价管理实施办法》（征求意见稿），现向社会公开征求意见，此次公开征求意见时间为2022年4月22日—2022年5月9日，征求意见期间如有意见建议，请以电子邮件、电话或信函方式反馈我局，并留下联系方式，以便沟通意见采纳情况。</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联系单位：苏州市吴江区行政审批局</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联系地址：苏州市吴江区开平路3688号苏州湾大厦19楼</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邮编号码：215200</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联系电话：60905718,60905719</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电子邮箱：</w:t>
      </w:r>
      <w:r>
        <w:fldChar w:fldCharType="begin"/>
      </w:r>
      <w:r>
        <w:instrText xml:space="preserve"> HYPERLINK "mailto:353153495@qq.com" </w:instrText>
      </w:r>
      <w:r>
        <w:fldChar w:fldCharType="separate"/>
      </w:r>
      <w:r>
        <w:rPr>
          <w:rFonts w:hint="eastAsia" w:ascii="仿宋_GB2312" w:eastAsia="仿宋_GB2312" w:cs="仿宋_GB2312"/>
          <w:sz w:val="32"/>
          <w:szCs w:val="32"/>
          <w:shd w:val="clear" w:color="auto" w:fill="FFFFFF"/>
        </w:rPr>
        <w:t>353153495@qq.com</w:t>
      </w:r>
      <w:r>
        <w:rPr>
          <w:rFonts w:hint="eastAsia" w:ascii="仿宋_GB2312" w:eastAsia="仿宋_GB2312" w:cs="仿宋_GB2312"/>
          <w:sz w:val="32"/>
          <w:szCs w:val="32"/>
          <w:shd w:val="clear" w:color="auto" w:fill="FFFFFF"/>
        </w:rPr>
        <w:fldChar w:fldCharType="end"/>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p>
    <w:p>
      <w:pPr>
        <w:widowControl/>
        <w:shd w:val="clear" w:color="auto" w:fill="FFFFFF"/>
        <w:spacing w:line="579" w:lineRule="exact"/>
        <w:ind w:firstLine="4480" w:firstLineChars="1400"/>
        <w:rPr>
          <w:rFonts w:ascii="仿宋_GB2312" w:eastAsia="仿宋_GB2312" w:cs="仿宋_GB2312"/>
          <w:sz w:val="32"/>
          <w:szCs w:val="32"/>
          <w:shd w:val="clear" w:color="auto" w:fill="FFFFFF"/>
        </w:rPr>
      </w:pPr>
    </w:p>
    <w:p>
      <w:pPr>
        <w:widowControl/>
        <w:shd w:val="clear" w:color="auto" w:fill="FFFFFF"/>
        <w:spacing w:line="579" w:lineRule="exact"/>
        <w:ind w:firstLine="4480" w:firstLineChars="14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苏州市吴江区行政审批局</w:t>
      </w:r>
    </w:p>
    <w:p>
      <w:pPr>
        <w:widowControl/>
        <w:shd w:val="clear" w:color="auto" w:fill="FFFFFF"/>
        <w:spacing w:line="579" w:lineRule="exact"/>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 xml:space="preserve">                             </w:t>
      </w:r>
      <w:r>
        <w:rPr>
          <w:rFonts w:ascii="仿宋_GB2312" w:eastAsia="仿宋_GB2312" w:cs="仿宋_GB2312"/>
          <w:sz w:val="32"/>
          <w:szCs w:val="32"/>
          <w:shd w:val="clear" w:color="auto" w:fill="FFFFFF"/>
        </w:rPr>
        <w:t xml:space="preserve">   </w:t>
      </w:r>
      <w:r>
        <w:rPr>
          <w:rFonts w:hint="eastAsia" w:ascii="仿宋_GB2312" w:eastAsia="仿宋_GB2312" w:cs="仿宋_GB2312"/>
          <w:sz w:val="32"/>
          <w:szCs w:val="32"/>
          <w:shd w:val="clear" w:color="auto" w:fill="FFFFFF"/>
        </w:rPr>
        <w:t>2022年4月22日</w:t>
      </w:r>
    </w:p>
    <w:p>
      <w:pPr>
        <w:widowControl/>
        <w:shd w:val="clear" w:color="auto" w:fill="FFFFFF"/>
        <w:spacing w:line="578" w:lineRule="exact"/>
        <w:jc w:val="center"/>
        <w:rPr>
          <w:rFonts w:ascii="方正小标宋简体" w:hAnsi="方正小标宋简体" w:eastAsia="方正小标宋简体" w:cs="黑体"/>
          <w:color w:val="333333"/>
          <w:kern w:val="0"/>
          <w:sz w:val="44"/>
          <w:szCs w:val="44"/>
          <w:shd w:val="clear" w:color="auto" w:fill="FFFFFF"/>
        </w:rPr>
      </w:pPr>
    </w:p>
    <w:p>
      <w:pPr>
        <w:widowControl/>
        <w:shd w:val="clear" w:color="auto" w:fill="FFFFFF"/>
        <w:spacing w:line="640" w:lineRule="exact"/>
        <w:jc w:val="center"/>
        <w:rPr>
          <w:rFonts w:ascii="方正小标宋简体" w:hAnsi="方正小标宋简体" w:eastAsia="方正小标宋简体" w:cs="黑体"/>
          <w:color w:val="333333"/>
          <w:kern w:val="0"/>
          <w:sz w:val="44"/>
          <w:szCs w:val="44"/>
          <w:shd w:val="clear" w:color="auto" w:fill="FFFFFF"/>
        </w:rPr>
      </w:pPr>
      <w:r>
        <w:rPr>
          <w:rFonts w:hint="eastAsia" w:ascii="方正小标宋简体" w:hAnsi="方正小标宋简体" w:eastAsia="方正小标宋简体" w:cs="黑体"/>
          <w:color w:val="333333"/>
          <w:kern w:val="0"/>
          <w:sz w:val="44"/>
          <w:szCs w:val="44"/>
          <w:shd w:val="clear" w:color="auto" w:fill="FFFFFF"/>
        </w:rPr>
        <w:t>苏州市吴江区中介机构星级评价管理</w:t>
      </w:r>
    </w:p>
    <w:p>
      <w:pPr>
        <w:widowControl/>
        <w:shd w:val="clear" w:color="auto" w:fill="FFFFFF"/>
        <w:spacing w:line="640" w:lineRule="exact"/>
        <w:jc w:val="center"/>
        <w:rPr>
          <w:rFonts w:ascii="方正小标宋简体" w:hAnsi="方正小标宋简体" w:eastAsia="方正小标宋简体" w:cs="黑体"/>
          <w:color w:val="333333"/>
          <w:kern w:val="0"/>
          <w:sz w:val="44"/>
          <w:szCs w:val="44"/>
          <w:shd w:val="clear" w:color="auto" w:fill="FFFFFF"/>
        </w:rPr>
      </w:pPr>
      <w:r>
        <w:rPr>
          <w:rFonts w:hint="eastAsia" w:ascii="方正小标宋简体" w:hAnsi="方正小标宋简体" w:eastAsia="方正小标宋简体" w:cs="黑体"/>
          <w:color w:val="333333"/>
          <w:kern w:val="0"/>
          <w:sz w:val="44"/>
          <w:szCs w:val="44"/>
          <w:shd w:val="clear" w:color="auto" w:fill="FFFFFF"/>
        </w:rPr>
        <w:t>实施办法</w:t>
      </w:r>
    </w:p>
    <w:p>
      <w:pPr>
        <w:widowControl/>
        <w:shd w:val="clear" w:color="auto" w:fill="FFFFFF"/>
        <w:spacing w:line="640" w:lineRule="exact"/>
        <w:jc w:val="center"/>
        <w:rPr>
          <w:rFonts w:hint="eastAsia" w:ascii="楷体_GB2312" w:hAnsi="楷体" w:eastAsia="楷体_GB2312" w:cs="黑体"/>
          <w:color w:val="333333"/>
          <w:kern w:val="0"/>
          <w:sz w:val="32"/>
          <w:szCs w:val="32"/>
          <w:shd w:val="clear" w:color="auto" w:fill="FFFFFF"/>
        </w:rPr>
      </w:pPr>
      <w:r>
        <w:rPr>
          <w:rFonts w:hint="eastAsia" w:ascii="楷体_GB2312" w:hAnsi="楷体" w:eastAsia="楷体_GB2312" w:cs="黑体"/>
          <w:color w:val="333333"/>
          <w:kern w:val="0"/>
          <w:sz w:val="32"/>
          <w:szCs w:val="32"/>
          <w:shd w:val="clear" w:color="auto" w:fill="FFFFFF"/>
        </w:rPr>
        <w:t>（征求意见稿）</w:t>
      </w:r>
    </w:p>
    <w:p>
      <w:pPr>
        <w:widowControl/>
        <w:shd w:val="clear" w:color="auto" w:fill="FFFFFF"/>
        <w:spacing w:line="578" w:lineRule="exact"/>
        <w:rPr>
          <w:rFonts w:ascii="仿宋_GB2312" w:hAnsi="Times New Roman" w:eastAsia="仿宋_GB2312"/>
          <w:color w:val="333333"/>
          <w:kern w:val="0"/>
          <w:sz w:val="32"/>
          <w:szCs w:val="32"/>
          <w:shd w:val="clear" w:color="auto" w:fill="FFFFFF"/>
        </w:rPr>
      </w:pPr>
    </w:p>
    <w:p>
      <w:pPr>
        <w:widowControl/>
        <w:shd w:val="clear" w:color="auto" w:fill="FFFFFF"/>
        <w:spacing w:line="579" w:lineRule="exact"/>
        <w:jc w:val="center"/>
        <w:rPr>
          <w:rFonts w:ascii="黑体" w:hAnsi="宋体" w:eastAsia="黑体"/>
          <w:bCs/>
          <w:color w:val="333333"/>
          <w:kern w:val="0"/>
          <w:sz w:val="32"/>
          <w:szCs w:val="32"/>
          <w:shd w:val="clear" w:color="auto" w:fill="FFFFFF"/>
        </w:rPr>
      </w:pPr>
      <w:bookmarkStart w:id="0" w:name="_GoBack"/>
      <w:bookmarkEnd w:id="0"/>
      <w:r>
        <w:rPr>
          <w:rFonts w:hint="eastAsia" w:ascii="黑体" w:hAnsi="宋体" w:eastAsia="黑体"/>
          <w:bCs/>
          <w:color w:val="333333"/>
          <w:kern w:val="0"/>
          <w:sz w:val="32"/>
          <w:szCs w:val="32"/>
          <w:shd w:val="clear" w:color="auto" w:fill="FFFFFF"/>
        </w:rPr>
        <w:t>第一章  总</w:t>
      </w:r>
      <w:r>
        <w:rPr>
          <w:rFonts w:hint="eastAsia" w:ascii="宋体" w:hAnsi="宋体" w:eastAsia="黑体" w:cs="宋体"/>
          <w:bCs/>
          <w:color w:val="333333"/>
          <w:kern w:val="0"/>
          <w:sz w:val="32"/>
          <w:szCs w:val="32"/>
          <w:shd w:val="clear" w:color="auto" w:fill="FFFFFF"/>
        </w:rPr>
        <w:t> </w:t>
      </w:r>
      <w:r>
        <w:rPr>
          <w:rFonts w:hint="eastAsia" w:ascii="黑体" w:hAnsi="宋体" w:eastAsia="黑体"/>
          <w:bCs/>
          <w:color w:val="333333"/>
          <w:kern w:val="0"/>
          <w:sz w:val="32"/>
          <w:szCs w:val="32"/>
          <w:shd w:val="clear" w:color="auto" w:fill="FFFFFF"/>
        </w:rPr>
        <w:t>则</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第一条</w:t>
      </w:r>
      <w:r>
        <w:rPr>
          <w:rFonts w:ascii="仿宋_GB2312" w:eastAsia="仿宋_GB2312" w:cs="仿宋_GB2312"/>
          <w:sz w:val="32"/>
          <w:szCs w:val="32"/>
          <w:shd w:val="clear" w:color="auto" w:fill="FFFFFF"/>
        </w:rPr>
        <w:t>  </w:t>
      </w:r>
      <w:r>
        <w:rPr>
          <w:rFonts w:hint="eastAsia" w:ascii="仿宋_GB2312" w:eastAsia="仿宋_GB2312" w:cs="仿宋_GB2312"/>
          <w:sz w:val="32"/>
          <w:szCs w:val="32"/>
          <w:shd w:val="clear" w:color="auto" w:fill="FFFFFF"/>
        </w:rPr>
        <w:t>为构建全面开放、规范高效、竞争有序、诚实守信的中介管理体系，实现公平与效益的有机统一，促进我区中介服务市场健康发展，根</w:t>
      </w:r>
      <w:r>
        <w:rPr>
          <w:rFonts w:hint="eastAsia" w:ascii="仿宋_GB2312" w:eastAsia="仿宋_GB2312" w:cs="仿宋_GB2312"/>
          <w:color w:val="000000" w:themeColor="text1"/>
          <w:sz w:val="32"/>
          <w:szCs w:val="32"/>
          <w:shd w:val="clear" w:color="auto" w:fill="FFFFFF"/>
        </w:rPr>
        <w:t>据有关法律法规和文件精神，</w:t>
      </w:r>
      <w:r>
        <w:rPr>
          <w:rFonts w:hint="eastAsia" w:ascii="仿宋_GB2312" w:eastAsia="仿宋_GB2312" w:cs="仿宋_GB2312"/>
          <w:sz w:val="32"/>
          <w:szCs w:val="32"/>
          <w:shd w:val="clear" w:color="auto" w:fill="FFFFFF"/>
        </w:rPr>
        <w:t>制定本办法。</w:t>
      </w:r>
    </w:p>
    <w:p>
      <w:pPr>
        <w:widowControl/>
        <w:shd w:val="clear" w:color="auto" w:fill="FFFFFF"/>
        <w:spacing w:line="579" w:lineRule="exact"/>
        <w:jc w:val="center"/>
        <w:rPr>
          <w:rFonts w:ascii="黑体" w:hAnsi="黑体" w:eastAsia="黑体" w:cs="仿宋_GB2312"/>
          <w:sz w:val="32"/>
          <w:szCs w:val="32"/>
          <w:shd w:val="clear" w:color="auto" w:fill="FFFFFF"/>
        </w:rPr>
      </w:pPr>
    </w:p>
    <w:p>
      <w:pPr>
        <w:widowControl/>
        <w:shd w:val="clear" w:color="auto" w:fill="FFFFFF"/>
        <w:spacing w:line="579"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第二章  评价管理范围和方法</w:t>
      </w:r>
    </w:p>
    <w:p>
      <w:pPr>
        <w:widowControl/>
        <w:shd w:val="clear" w:color="auto" w:fill="FFFFFF"/>
        <w:spacing w:line="579" w:lineRule="exact"/>
        <w:ind w:firstLine="640"/>
        <w:rPr>
          <w:rFonts w:ascii="仿宋_GB2312" w:eastAsia="仿宋_GB2312" w:cs="仿宋_GB2312"/>
          <w:color w:val="FF0000"/>
          <w:sz w:val="32"/>
          <w:szCs w:val="32"/>
          <w:shd w:val="clear" w:color="auto" w:fill="FFFFFF"/>
        </w:rPr>
      </w:pPr>
      <w:r>
        <w:rPr>
          <w:rFonts w:hint="eastAsia" w:ascii="仿宋_GB2312" w:eastAsia="仿宋_GB2312" w:cs="仿宋_GB2312"/>
          <w:b/>
          <w:bCs/>
          <w:sz w:val="32"/>
          <w:szCs w:val="32"/>
          <w:shd w:val="clear" w:color="auto" w:fill="FFFFFF"/>
        </w:rPr>
        <w:t>第二条</w:t>
      </w:r>
      <w:r>
        <w:rPr>
          <w:rFonts w:ascii="仿宋_GB2312" w:eastAsia="仿宋_GB2312" w:cs="仿宋_GB2312"/>
          <w:sz w:val="32"/>
          <w:szCs w:val="32"/>
          <w:shd w:val="clear" w:color="auto" w:fill="FFFFFF"/>
        </w:rPr>
        <w:t>  </w:t>
      </w:r>
      <w:r>
        <w:rPr>
          <w:rFonts w:hint="eastAsia" w:ascii="仿宋_GB2312" w:eastAsia="仿宋_GB2312" w:cs="仿宋_GB2312"/>
          <w:sz w:val="32"/>
          <w:szCs w:val="32"/>
          <w:shd w:val="clear" w:color="auto" w:fill="FFFFFF"/>
        </w:rPr>
        <w:t>本办法适用于在吴江区辖区范围内从事经营性活动的各类中介机构。</w:t>
      </w:r>
    </w:p>
    <w:p>
      <w:pPr>
        <w:widowControl/>
        <w:shd w:val="clear" w:color="auto" w:fill="FFFFFF"/>
        <w:spacing w:line="579" w:lineRule="exact"/>
        <w:ind w:firstLine="630" w:firstLineChars="196"/>
        <w:jc w:val="left"/>
        <w:rPr>
          <w:rFonts w:ascii="仿宋_GB2312" w:eastAsia="仿宋_GB2312" w:cs="仿宋_GB2312"/>
          <w:sz w:val="32"/>
          <w:szCs w:val="32"/>
          <w:shd w:val="clear" w:color="auto" w:fill="FFFFFF"/>
        </w:rPr>
      </w:pPr>
      <w:r>
        <w:rPr>
          <w:rFonts w:hint="eastAsia" w:ascii="仿宋_GB2312" w:eastAsia="仿宋_GB2312" w:cs="仿宋_GB2312"/>
          <w:b/>
          <w:sz w:val="32"/>
          <w:szCs w:val="32"/>
          <w:shd w:val="clear" w:color="auto" w:fill="FFFFFF"/>
        </w:rPr>
        <w:t>第三条</w:t>
      </w:r>
      <w:r>
        <w:rPr>
          <w:rFonts w:hint="eastAsia" w:ascii="仿宋_GB2312" w:eastAsia="仿宋_GB2312" w:cs="仿宋_GB2312"/>
          <w:sz w:val="32"/>
          <w:szCs w:val="32"/>
          <w:shd w:val="clear" w:color="auto" w:fill="FFFFFF"/>
        </w:rPr>
        <w:t xml:space="preserve"> 吴江区以“客观、公平、公正、适用”为原则，通过项目评价、年度评价和双优机构评选，对中介机构实施评价管理。</w:t>
      </w:r>
    </w:p>
    <w:p>
      <w:pPr>
        <w:widowControl/>
        <w:shd w:val="clear" w:color="auto" w:fill="FFFFFF"/>
        <w:spacing w:line="579" w:lineRule="exact"/>
        <w:ind w:firstLine="627" w:firstLineChars="196"/>
        <w:jc w:val="center"/>
        <w:rPr>
          <w:rFonts w:ascii="黑体" w:hAnsi="黑体" w:eastAsia="黑体" w:cs="黑体"/>
          <w:bCs/>
          <w:sz w:val="32"/>
          <w:szCs w:val="32"/>
          <w:shd w:val="clear" w:color="auto" w:fill="FFFFFF"/>
        </w:rPr>
      </w:pPr>
    </w:p>
    <w:p>
      <w:pPr>
        <w:widowControl/>
        <w:shd w:val="clear" w:color="auto" w:fill="FFFFFF"/>
        <w:spacing w:line="579" w:lineRule="exact"/>
        <w:ind w:firstLine="627" w:firstLineChars="196"/>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第三章  项目评价</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第四条</w:t>
      </w:r>
      <w:r>
        <w:rPr>
          <w:rFonts w:hint="eastAsia" w:ascii="仿宋_GB2312" w:eastAsia="仿宋_GB2312" w:cs="仿宋_GB2312"/>
          <w:sz w:val="32"/>
          <w:szCs w:val="32"/>
          <w:shd w:val="clear" w:color="auto" w:fill="FFFFFF"/>
        </w:rPr>
        <w:t xml:space="preserve"> 项目评价由项目业主负责实施，实行“一事一评”，分值40分。项目业主根据中介机构的服务质量、服务效率、服务收费、服务态度四个维度，对中介机构进行评价，评价结果实时动态更新并对外公示。</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第五条</w:t>
      </w:r>
      <w:r>
        <w:rPr>
          <w:rFonts w:hint="eastAsia" w:ascii="仿宋_GB2312" w:eastAsia="仿宋_GB2312" w:cs="仿宋_GB2312"/>
          <w:sz w:val="32"/>
          <w:szCs w:val="32"/>
          <w:shd w:val="clear" w:color="auto" w:fill="FFFFFF"/>
        </w:rPr>
        <w:t xml:space="preserve"> 项目评价最高为5星，最低为1星。各星级的对应分数为：36分-40分5星；31分-35分4星；21分-30分3星；11分-20分2星；10分（含）以下1星。</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第六条</w:t>
      </w:r>
      <w:r>
        <w:rPr>
          <w:rFonts w:hint="eastAsia" w:ascii="仿宋_GB2312" w:eastAsia="仿宋_GB2312" w:cs="仿宋_GB2312"/>
          <w:sz w:val="32"/>
          <w:szCs w:val="32"/>
          <w:shd w:val="clear" w:color="auto" w:fill="FFFFFF"/>
        </w:rPr>
        <w:t xml:space="preserve"> 项目业主在中介服务成果上传次日起15个工作日内，对中介服务进行在线评分，项目业主未进行评价的，由系统默认评价。对已评价的项目或已默认评价的项目，项目业主可进行1次修正。</w:t>
      </w:r>
    </w:p>
    <w:p>
      <w:pPr>
        <w:widowControl/>
        <w:shd w:val="clear" w:color="auto" w:fill="FFFFFF"/>
        <w:spacing w:line="579" w:lineRule="exact"/>
        <w:jc w:val="center"/>
        <w:rPr>
          <w:rFonts w:ascii="黑体" w:hAnsi="黑体" w:eastAsia="黑体" w:cs="黑体"/>
          <w:bCs/>
          <w:sz w:val="32"/>
          <w:szCs w:val="32"/>
          <w:shd w:val="clear" w:color="auto" w:fill="FFFFFF"/>
        </w:rPr>
      </w:pPr>
    </w:p>
    <w:p>
      <w:pPr>
        <w:widowControl/>
        <w:shd w:val="clear" w:color="auto" w:fill="FFFFFF"/>
        <w:spacing w:line="579"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第四章  年度评价</w:t>
      </w:r>
    </w:p>
    <w:p>
      <w:pPr>
        <w:widowControl/>
        <w:shd w:val="clear" w:color="auto" w:fill="FFFFFF"/>
        <w:spacing w:line="579" w:lineRule="exact"/>
        <w:ind w:firstLine="643" w:firstLineChars="200"/>
        <w:rPr>
          <w:rFonts w:ascii="仿宋_GB2312" w:eastAsia="仿宋_GB2312" w:cs="仿宋_GB2312"/>
          <w:color w:val="000000" w:themeColor="text1"/>
          <w:sz w:val="32"/>
          <w:szCs w:val="32"/>
          <w:shd w:val="clear" w:color="auto" w:fill="FFFFFF"/>
        </w:rPr>
      </w:pPr>
      <w:r>
        <w:rPr>
          <w:rFonts w:hint="eastAsia" w:ascii="仿宋_GB2312" w:eastAsia="仿宋_GB2312" w:cs="仿宋_GB2312"/>
          <w:b/>
          <w:bCs/>
          <w:sz w:val="32"/>
          <w:szCs w:val="32"/>
          <w:shd w:val="clear" w:color="auto" w:fill="FFFFFF"/>
        </w:rPr>
        <w:t xml:space="preserve">第七条 </w:t>
      </w:r>
      <w:r>
        <w:rPr>
          <w:rFonts w:hint="eastAsia" w:ascii="仿宋_GB2312" w:eastAsia="仿宋_GB2312" w:cs="仿宋_GB2312"/>
          <w:sz w:val="32"/>
          <w:szCs w:val="32"/>
          <w:shd w:val="clear" w:color="auto" w:fill="FFFFFF"/>
        </w:rPr>
        <w:t>年度评价由</w:t>
      </w:r>
      <w:r>
        <w:rPr>
          <w:rFonts w:ascii="仿宋_GB2312" w:eastAsia="仿宋_GB2312" w:cs="仿宋_GB2312"/>
          <w:sz w:val="32"/>
          <w:szCs w:val="32"/>
          <w:shd w:val="clear" w:color="auto" w:fill="FFFFFF"/>
        </w:rPr>
        <w:t>苏州市</w:t>
      </w:r>
      <w:r>
        <w:rPr>
          <w:rFonts w:hint="eastAsia" w:ascii="仿宋_GB2312" w:eastAsia="仿宋_GB2312" w:cs="仿宋_GB2312"/>
          <w:sz w:val="32"/>
          <w:szCs w:val="32"/>
          <w:shd w:val="clear" w:color="auto" w:fill="FFFFFF"/>
        </w:rPr>
        <w:t>吴江区社会中介机构监督管理领导小组办公室（以下简称中介监管办）组织实施，评价内容由项目考评分、业务考评分、日常考评分三部分组成。</w:t>
      </w:r>
      <w:r>
        <w:rPr>
          <w:rFonts w:hint="eastAsia" w:ascii="仿宋_GB2312" w:eastAsia="仿宋_GB2312" w:cs="仿宋_GB2312"/>
          <w:color w:val="000000" w:themeColor="text1"/>
          <w:sz w:val="32"/>
          <w:szCs w:val="32"/>
          <w:shd w:val="clear" w:color="auto" w:fill="FFFFFF"/>
        </w:rPr>
        <w:t xml:space="preserve">由中介机构自愿向行业主管（管理）部门提出申请，并对提供申报材料作出真实性承诺。 </w:t>
      </w:r>
    </w:p>
    <w:p>
      <w:pPr>
        <w:widowControl/>
        <w:shd w:val="clear" w:color="auto" w:fill="FFFFFF"/>
        <w:spacing w:line="579" w:lineRule="exact"/>
        <w:ind w:firstLine="643" w:firstLineChars="200"/>
        <w:rPr>
          <w:rFonts w:ascii="仿宋_GB2312" w:eastAsia="仿宋_GB2312" w:cs="仿宋_GB2312"/>
          <w:color w:val="000000" w:themeColor="text1"/>
          <w:sz w:val="32"/>
          <w:szCs w:val="32"/>
          <w:shd w:val="clear" w:color="auto" w:fill="FFFFFF"/>
        </w:rPr>
      </w:pPr>
      <w:r>
        <w:rPr>
          <w:rFonts w:hint="eastAsia" w:ascii="仿宋_GB2312" w:eastAsia="仿宋_GB2312" w:cs="仿宋_GB2312"/>
          <w:b/>
          <w:bCs/>
          <w:color w:val="000000" w:themeColor="text1"/>
          <w:sz w:val="32"/>
          <w:szCs w:val="32"/>
          <w:shd w:val="clear" w:color="auto" w:fill="FFFFFF"/>
        </w:rPr>
        <w:t>第八条</w:t>
      </w:r>
      <w:r>
        <w:rPr>
          <w:rFonts w:hint="eastAsia" w:ascii="仿宋_GB2312" w:eastAsia="仿宋_GB2312" w:cs="仿宋_GB2312"/>
          <w:color w:val="000000" w:themeColor="text1"/>
          <w:sz w:val="32"/>
          <w:szCs w:val="32"/>
          <w:shd w:val="clear" w:color="auto" w:fill="FFFFFF"/>
        </w:rPr>
        <w:t xml:space="preserve"> 中介机构年度评价周期为一年，未自愿向行业主管（管理）部门提出申请的中介机构，在当年度评价周期内暂不评价。</w:t>
      </w:r>
    </w:p>
    <w:p>
      <w:pPr>
        <w:widowControl/>
        <w:shd w:val="clear" w:color="auto" w:fill="FFFFFF"/>
        <w:spacing w:line="579" w:lineRule="exact"/>
        <w:ind w:firstLine="643" w:firstLineChars="20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 xml:space="preserve">第九条 </w:t>
      </w:r>
      <w:r>
        <w:rPr>
          <w:rFonts w:hint="eastAsia" w:ascii="仿宋_GB2312" w:eastAsia="仿宋_GB2312" w:cs="仿宋_GB2312"/>
          <w:sz w:val="32"/>
          <w:szCs w:val="32"/>
          <w:shd w:val="clear" w:color="auto" w:fill="FFFFFF"/>
        </w:rPr>
        <w:t>本评价体系采取百分制考评，年度评价总分值100分，具体分值如下：</w:t>
      </w:r>
    </w:p>
    <w:p>
      <w:pPr>
        <w:widowControl/>
        <w:shd w:val="clear" w:color="auto" w:fill="FFFFFF"/>
        <w:spacing w:line="579" w:lineRule="exact"/>
        <w:ind w:firstLine="640" w:firstLineChars="200"/>
        <w:rPr>
          <w:rFonts w:ascii="仿宋_GB2312" w:eastAsia="仿宋_GB2312" w:cs="仿宋_GB2312"/>
          <w:color w:val="000000" w:themeColor="text1"/>
          <w:sz w:val="32"/>
          <w:szCs w:val="32"/>
          <w:shd w:val="clear" w:color="auto" w:fill="FFFFFF"/>
        </w:rPr>
      </w:pPr>
      <w:r>
        <w:rPr>
          <w:rFonts w:hint="eastAsia" w:ascii="仿宋_GB2312" w:eastAsia="仿宋_GB2312" w:cs="仿宋_GB2312"/>
          <w:color w:val="000000" w:themeColor="text1"/>
          <w:sz w:val="32"/>
          <w:szCs w:val="32"/>
          <w:shd w:val="clear" w:color="auto" w:fill="FFFFFF"/>
        </w:rPr>
        <w:t>（一）项目考评分40分。入驻吴江区中介超市并且已产生项目交易的中介机构按业主项目评价分数计算；未入驻中介超市或入驻中介超市未产生项目交易的中介机构按照基准分计算；</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二）业务考评分40分。进入吴江区公共资源交易中心的招标（采购）代理机构由交易中心和行业主管（管理）部门负责评价，交易中心和行业主管（管理）部门各占20分；未入交易中心其他类别的中介机构，由行业主管（管理）部门负责评价，各部门依据此办法自行制订评分细则（或按条线规定执行），评分细则向社会公开公布，同步报送中介监管办。</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（三）日常考评分20分。由中介监管办组织实施，对中介机构的服务规范、服务效率、服务诚信、日常监管四部分进行评分。</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 xml:space="preserve">第十条 </w:t>
      </w:r>
      <w:r>
        <w:rPr>
          <w:rFonts w:hint="eastAsia" w:ascii="仿宋_GB2312" w:eastAsia="仿宋_GB2312" w:cs="仿宋_GB2312"/>
          <w:sz w:val="32"/>
          <w:szCs w:val="32"/>
          <w:shd w:val="clear" w:color="auto" w:fill="FFFFFF"/>
        </w:rPr>
        <w:t>评价等级根据评分从高到低分为AAA、AA、A、B、C五个等级，AAA 评分90分（含）以上， AA 评分80分（含）-89分， A 评分70分（含）-79分， B 评分60分（含）-69分， C 评分60分以下。</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sz w:val="32"/>
          <w:szCs w:val="32"/>
          <w:shd w:val="clear" w:color="auto" w:fill="FFFFFF"/>
        </w:rPr>
        <w:t>第十一条</w:t>
      </w:r>
      <w:r>
        <w:rPr>
          <w:rFonts w:hint="eastAsia" w:ascii="仿宋_GB2312" w:eastAsia="仿宋_GB2312" w:cs="仿宋_GB2312"/>
          <w:color w:val="000000" w:themeColor="text1"/>
          <w:sz w:val="32"/>
          <w:szCs w:val="32"/>
          <w:shd w:val="clear" w:color="auto" w:fill="FFFFFF"/>
        </w:rPr>
        <w:t>中介机构年度评价初评名单明确后，</w:t>
      </w:r>
      <w:r>
        <w:rPr>
          <w:rFonts w:hint="eastAsia" w:ascii="仿宋_GB2312" w:eastAsia="仿宋_GB2312" w:cs="仿宋_GB2312"/>
          <w:sz w:val="32"/>
          <w:szCs w:val="32"/>
          <w:shd w:val="clear" w:color="auto" w:fill="FFFFFF"/>
        </w:rPr>
        <w:t>相关监管（执法）部门对评价周期内中介机构进行联合审查和廉洁从业审查，</w:t>
      </w:r>
      <w:r>
        <w:rPr>
          <w:rFonts w:hint="eastAsia" w:ascii="仿宋_GB2312" w:eastAsia="仿宋_GB2312" w:cs="仿宋_GB2312"/>
          <w:color w:val="000000" w:themeColor="text1"/>
          <w:sz w:val="32"/>
          <w:szCs w:val="32"/>
          <w:shd w:val="clear" w:color="auto" w:fill="FFFFFF"/>
        </w:rPr>
        <w:t>根据审查情况最终确定中介机构年度评价结果并向社会公示</w:t>
      </w:r>
      <w:r>
        <w:rPr>
          <w:rStyle w:val="12"/>
          <w:rFonts w:hint="eastAsia"/>
        </w:rPr>
        <w:t>。</w:t>
      </w:r>
    </w:p>
    <w:p>
      <w:pPr>
        <w:widowControl/>
        <w:shd w:val="clear" w:color="auto" w:fill="FFFFFF"/>
        <w:spacing w:line="579" w:lineRule="exact"/>
        <w:jc w:val="center"/>
        <w:rPr>
          <w:rFonts w:ascii="黑体" w:hAnsi="黑体" w:eastAsia="黑体" w:cs="仿宋_GB2312"/>
          <w:sz w:val="32"/>
          <w:szCs w:val="32"/>
          <w:shd w:val="clear" w:color="auto" w:fill="FFFFFF"/>
        </w:rPr>
      </w:pPr>
    </w:p>
    <w:p>
      <w:pPr>
        <w:widowControl/>
        <w:shd w:val="clear" w:color="auto" w:fill="FFFFFF"/>
        <w:spacing w:line="579" w:lineRule="exact"/>
        <w:jc w:val="center"/>
        <w:rPr>
          <w:rFonts w:ascii="黑体" w:hAnsi="黑体" w:eastAsia="黑体" w:cs="仿宋_GB2312"/>
          <w:sz w:val="32"/>
          <w:szCs w:val="32"/>
          <w:shd w:val="clear" w:color="auto" w:fill="FFFFFF"/>
        </w:rPr>
      </w:pPr>
      <w:r>
        <w:rPr>
          <w:rFonts w:hint="eastAsia" w:ascii="黑体" w:hAnsi="黑体" w:eastAsia="黑体" w:cs="仿宋_GB2312"/>
          <w:sz w:val="32"/>
          <w:szCs w:val="32"/>
          <w:shd w:val="clear" w:color="auto" w:fill="FFFFFF"/>
        </w:rPr>
        <w:t>第五章   双优评选</w:t>
      </w:r>
    </w:p>
    <w:p>
      <w:pPr>
        <w:spacing w:line="579" w:lineRule="exact"/>
        <w:ind w:firstLine="630" w:firstLineChars="196"/>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第十二条</w:t>
      </w:r>
      <w:r>
        <w:rPr>
          <w:rFonts w:hint="eastAsia" w:ascii="仿宋_GB2312" w:eastAsia="仿宋_GB2312" w:cs="仿宋_GB2312"/>
          <w:sz w:val="32"/>
          <w:szCs w:val="32"/>
          <w:shd w:val="clear" w:color="auto" w:fill="FFFFFF"/>
        </w:rPr>
        <w:t xml:space="preserve"> “双优”中介机构评选由中介监管办负责组织实施，每两年一届，从连续两年评为AAA的中介机构中</w:t>
      </w:r>
      <w:r>
        <w:rPr>
          <w:rFonts w:hint="eastAsia" w:ascii="仿宋_GB2312" w:eastAsia="仿宋_GB2312" w:cs="仿宋_GB2312"/>
          <w:color w:val="000000" w:themeColor="text1"/>
          <w:sz w:val="32"/>
          <w:szCs w:val="32"/>
          <w:shd w:val="clear" w:color="auto" w:fill="FFFFFF"/>
        </w:rPr>
        <w:t>按比例</w:t>
      </w:r>
      <w:r>
        <w:rPr>
          <w:rFonts w:hint="eastAsia" w:ascii="仿宋_GB2312" w:eastAsia="仿宋_GB2312" w:cs="仿宋_GB2312"/>
          <w:sz w:val="32"/>
          <w:szCs w:val="32"/>
          <w:shd w:val="clear" w:color="auto" w:fill="FFFFFF"/>
        </w:rPr>
        <w:t>进行选取。</w:t>
      </w:r>
    </w:p>
    <w:p>
      <w:pPr>
        <w:spacing w:line="579" w:lineRule="exact"/>
        <w:ind w:firstLine="630" w:firstLineChars="196"/>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第十三条</w:t>
      </w:r>
      <w:r>
        <w:rPr>
          <w:rFonts w:hint="eastAsia" w:ascii="仿宋_GB2312" w:eastAsia="仿宋_GB2312" w:cs="仿宋_GB2312"/>
          <w:sz w:val="32"/>
          <w:szCs w:val="32"/>
          <w:shd w:val="clear" w:color="auto" w:fill="FFFFFF"/>
        </w:rPr>
        <w:t xml:space="preserve"> 评选程序</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（一）申报初选。由区中介监管办确定连续两年等级评定AAA级的中介机构，符合评选条件的中介机构自愿向中介监管办提出申请，提供申报材料并作出真实性承诺；</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 xml:space="preserve">（二）部门初审。行业主管（管理）部门结合日常监管，根据初选名单，按照选取比例初步选定“双优”中介机构名单；                       </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（三）社会测评。由中介监管办牵头，对通过初审的中介机构开展社会测评活动，公布投诉举报电话，征求社会各界的意见建议，确定最终名单；</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r>
        <w:rPr>
          <w:rFonts w:hint="eastAsia" w:ascii="仿宋_GB2312" w:eastAsia="仿宋_GB2312" w:cs="仿宋_GB2312"/>
          <w:sz w:val="32"/>
          <w:szCs w:val="32"/>
          <w:shd w:val="clear" w:color="auto" w:fill="FFFFFF"/>
        </w:rPr>
        <w:t>（四）公布结果。中介监管办负责将“双优”中介机构入围名单在相关媒体上进行10个工作日的公示；公示期满后，对无异议的入围中介机构进行发文公布。</w:t>
      </w:r>
    </w:p>
    <w:p>
      <w:pPr>
        <w:widowControl/>
        <w:shd w:val="clear" w:color="auto" w:fill="FFFFFF"/>
        <w:spacing w:line="579" w:lineRule="exact"/>
        <w:ind w:firstLine="640" w:firstLineChars="200"/>
        <w:rPr>
          <w:rFonts w:ascii="仿宋_GB2312" w:eastAsia="仿宋_GB2312" w:cs="仿宋_GB2312"/>
          <w:sz w:val="32"/>
          <w:szCs w:val="32"/>
          <w:shd w:val="clear" w:color="auto" w:fill="FFFFFF"/>
        </w:rPr>
      </w:pPr>
    </w:p>
    <w:p>
      <w:pPr>
        <w:widowControl/>
        <w:shd w:val="clear" w:color="auto" w:fill="FFFFFF"/>
        <w:spacing w:line="579"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第六章  管理应用</w:t>
      </w:r>
    </w:p>
    <w:p>
      <w:pPr>
        <w:spacing w:line="579" w:lineRule="exact"/>
        <w:ind w:firstLine="640"/>
        <w:textAlignment w:val="baseline"/>
        <w:rPr>
          <w:rFonts w:ascii="仿宋_GB2312" w:eastAsia="仿宋_GB2312" w:cs="仿宋_GB2312"/>
          <w:color w:val="000000" w:themeColor="text1"/>
          <w:sz w:val="32"/>
          <w:szCs w:val="32"/>
          <w:shd w:val="clear" w:color="auto" w:fill="FFFFFF"/>
        </w:rPr>
      </w:pPr>
      <w:r>
        <w:rPr>
          <w:rFonts w:ascii="仿宋_GB2312" w:eastAsia="仿宋_GB2312" w:cs="仿宋_GB2312"/>
          <w:b/>
          <w:color w:val="000000" w:themeColor="text1"/>
          <w:sz w:val="32"/>
          <w:szCs w:val="32"/>
          <w:shd w:val="clear" w:color="auto" w:fill="FFFFFF"/>
        </w:rPr>
        <w:t>第十</w:t>
      </w:r>
      <w:r>
        <w:rPr>
          <w:rFonts w:hint="eastAsia" w:ascii="仿宋_GB2312" w:eastAsia="仿宋_GB2312" w:cs="仿宋_GB2312"/>
          <w:b/>
          <w:color w:val="000000" w:themeColor="text1"/>
          <w:sz w:val="32"/>
          <w:szCs w:val="32"/>
          <w:shd w:val="clear" w:color="auto" w:fill="FFFFFF"/>
        </w:rPr>
        <w:t>四</w:t>
      </w:r>
      <w:r>
        <w:rPr>
          <w:rFonts w:ascii="仿宋_GB2312" w:eastAsia="仿宋_GB2312" w:cs="仿宋_GB2312"/>
          <w:b/>
          <w:color w:val="000000" w:themeColor="text1"/>
          <w:sz w:val="32"/>
          <w:szCs w:val="32"/>
          <w:shd w:val="clear" w:color="auto" w:fill="FFFFFF"/>
        </w:rPr>
        <w:t>条</w:t>
      </w:r>
      <w:r>
        <w:rPr>
          <w:rFonts w:hint="eastAsia" w:ascii="仿宋_GB2312" w:eastAsia="仿宋_GB2312" w:cs="仿宋_GB2312"/>
          <w:color w:val="000000" w:themeColor="text1"/>
          <w:sz w:val="32"/>
          <w:szCs w:val="32"/>
          <w:shd w:val="clear" w:color="auto" w:fill="FFFFFF"/>
        </w:rPr>
        <w:t xml:space="preserve"> 在同等条件下，鼓励引导项目业主优先选择AAA级、AA级中介机构提供服务，对具有被认定失信行为的中介机构进行重点监管。</w:t>
      </w:r>
    </w:p>
    <w:p>
      <w:pPr>
        <w:widowControl/>
        <w:shd w:val="clear" w:color="auto" w:fill="FFFFFF"/>
        <w:spacing w:line="579" w:lineRule="exact"/>
        <w:ind w:firstLine="640"/>
        <w:rPr>
          <w:rFonts w:ascii="仿宋_GB2312" w:eastAsia="仿宋_GB2312" w:cs="仿宋_GB2312"/>
          <w:sz w:val="32"/>
          <w:szCs w:val="32"/>
          <w:shd w:val="clear" w:color="auto" w:fill="FFFFFF"/>
        </w:rPr>
      </w:pPr>
      <w:r>
        <w:rPr>
          <w:rFonts w:hint="eastAsia" w:ascii="仿宋_GB2312" w:eastAsia="仿宋_GB2312" w:cs="仿宋_GB2312"/>
          <w:b/>
          <w:bCs/>
          <w:sz w:val="32"/>
          <w:szCs w:val="32"/>
          <w:shd w:val="clear" w:color="auto" w:fill="FFFFFF"/>
        </w:rPr>
        <w:t xml:space="preserve">第十五条 </w:t>
      </w:r>
      <w:r>
        <w:rPr>
          <w:rFonts w:hint="eastAsia" w:ascii="仿宋_GB2312" w:eastAsia="仿宋_GB2312" w:cs="仿宋_GB2312"/>
          <w:sz w:val="32"/>
          <w:szCs w:val="32"/>
          <w:shd w:val="clear" w:color="auto" w:fill="FFFFFF"/>
        </w:rPr>
        <w:t>中介监管办应当加强与区公关信用主管部门的联系沟通，及时在吴江区中介超市平台展示已被认定失信行为的中介机构。</w:t>
      </w:r>
    </w:p>
    <w:p>
      <w:pPr>
        <w:spacing w:line="579" w:lineRule="exact"/>
        <w:ind w:firstLine="643" w:firstLineChars="200"/>
        <w:textAlignment w:val="baseline"/>
        <w:rPr>
          <w:rFonts w:ascii="仿宋_GB2312" w:eastAsia="仿宋_GB2312" w:cs="仿宋_GB2312"/>
          <w:sz w:val="32"/>
          <w:szCs w:val="32"/>
          <w:shd w:val="clear" w:color="auto" w:fill="FFFFFF"/>
        </w:rPr>
      </w:pPr>
      <w:r>
        <w:rPr>
          <w:rFonts w:hint="eastAsia" w:ascii="仿宋_GB2312" w:eastAsia="仿宋_GB2312" w:cs="仿宋_GB2312"/>
          <w:b/>
          <w:sz w:val="32"/>
          <w:szCs w:val="32"/>
          <w:shd w:val="clear" w:color="auto" w:fill="FFFFFF"/>
        </w:rPr>
        <w:t>第十六条</w:t>
      </w:r>
      <w:r>
        <w:rPr>
          <w:rFonts w:hint="eastAsia" w:ascii="仿宋_GB2312" w:eastAsia="仿宋_GB2312" w:cs="仿宋_GB2312"/>
          <w:sz w:val="32"/>
          <w:szCs w:val="32"/>
          <w:shd w:val="clear" w:color="auto" w:fill="FFFFFF"/>
        </w:rPr>
        <w:t xml:space="preserve"> “双优”中介机构称号不享受终身制，一般有效期为两年，凡在评选周期内发现并查实“双优”中介机构有被认定为不良行为的，由中介监管办撤销“双优”中介机构称号，收回标牌，并向社会进行公布。各行业主管（管理）部门将中介机构信用变化情况及时在行业内进行通报。</w:t>
      </w:r>
    </w:p>
    <w:p>
      <w:pPr>
        <w:widowControl/>
        <w:shd w:val="clear" w:color="auto" w:fill="FFFFFF"/>
        <w:spacing w:line="579" w:lineRule="exact"/>
        <w:jc w:val="center"/>
        <w:rPr>
          <w:rFonts w:ascii="黑体" w:hAnsi="宋体" w:eastAsia="黑体"/>
          <w:bCs/>
          <w:color w:val="333333"/>
          <w:kern w:val="0"/>
          <w:sz w:val="32"/>
          <w:szCs w:val="32"/>
          <w:shd w:val="clear" w:color="auto" w:fill="FFFFFF"/>
        </w:rPr>
      </w:pPr>
    </w:p>
    <w:p>
      <w:pPr>
        <w:widowControl/>
        <w:shd w:val="clear" w:color="auto" w:fill="FFFFFF"/>
        <w:spacing w:line="579" w:lineRule="exact"/>
        <w:jc w:val="center"/>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第七章  附</w:t>
      </w:r>
      <w:r>
        <w:rPr>
          <w:rFonts w:eastAsia="黑体" w:cs="Calibri"/>
          <w:bCs/>
          <w:sz w:val="32"/>
          <w:szCs w:val="32"/>
          <w:shd w:val="clear" w:color="auto" w:fill="FFFFFF"/>
        </w:rPr>
        <w:t xml:space="preserve">   </w:t>
      </w:r>
      <w:r>
        <w:rPr>
          <w:rFonts w:hint="eastAsia" w:ascii="黑体" w:hAnsi="黑体" w:eastAsia="黑体" w:cs="黑体"/>
          <w:bCs/>
          <w:sz w:val="32"/>
          <w:szCs w:val="32"/>
          <w:shd w:val="clear" w:color="auto" w:fill="FFFFFF"/>
        </w:rPr>
        <w:t>则</w:t>
      </w:r>
    </w:p>
    <w:p>
      <w:pPr>
        <w:widowControl/>
        <w:shd w:val="clear" w:color="auto" w:fill="FFFFFF"/>
        <w:spacing w:line="579" w:lineRule="exact"/>
        <w:ind w:firstLine="640"/>
        <w:jc w:val="left"/>
        <w:rPr>
          <w:rFonts w:ascii="仿宋_GB2312" w:eastAsia="仿宋_GB2312" w:cs="仿宋_GB2312"/>
          <w:sz w:val="32"/>
          <w:szCs w:val="32"/>
        </w:rPr>
      </w:pPr>
      <w:r>
        <w:rPr>
          <w:rFonts w:hint="eastAsia" w:ascii="仿宋_GB2312" w:eastAsia="仿宋_GB2312" w:cs="仿宋_GB2312"/>
          <w:b/>
          <w:bCs/>
          <w:sz w:val="32"/>
          <w:szCs w:val="32"/>
          <w:shd w:val="clear" w:color="auto" w:fill="FFFFFF"/>
        </w:rPr>
        <w:t>第十七条</w:t>
      </w:r>
      <w:r>
        <w:rPr>
          <w:rFonts w:hint="eastAsia" w:ascii="仿宋_GB2312" w:eastAsia="仿宋_GB2312" w:cs="仿宋_GB2312"/>
          <w:sz w:val="32"/>
          <w:szCs w:val="32"/>
        </w:rPr>
        <w:t>  本办法自X年X月X日起施行，</w:t>
      </w:r>
      <w:r>
        <w:rPr>
          <w:rFonts w:hint="eastAsia" w:ascii="仿宋_GB2312" w:eastAsia="仿宋_GB2312" w:cs="仿宋_GB2312"/>
          <w:color w:val="000000" w:themeColor="text1"/>
          <w:sz w:val="32"/>
          <w:szCs w:val="32"/>
        </w:rPr>
        <w:t>原</w:t>
      </w:r>
      <w:r>
        <w:rPr>
          <w:rFonts w:hint="eastAsia" w:ascii="仿宋_GB2312" w:eastAsia="仿宋_GB2312" w:cs="仿宋_GB2312"/>
          <w:color w:val="000000" w:themeColor="text1"/>
          <w:sz w:val="32"/>
          <w:szCs w:val="32"/>
          <w:shd w:val="clear" w:color="auto" w:fill="FFFFFF"/>
        </w:rPr>
        <w:t>《市政府关于印发吴江市中介机构信用评价管理办法（试行）的通知》（吴政发[2009]179号）和《吴江市“诚信中介机构”评选办法（试行）》（吴中监[2012]2号）同时废止。</w:t>
      </w:r>
    </w:p>
    <w:p>
      <w:pPr>
        <w:widowControl/>
        <w:shd w:val="clear" w:color="auto" w:fill="FFFFFF"/>
        <w:spacing w:line="579" w:lineRule="exact"/>
        <w:ind w:firstLine="640"/>
        <w:jc w:val="left"/>
        <w:rPr>
          <w:rFonts w:ascii="仿宋_GB2312" w:eastAsia="仿宋_GB2312" w:cs="仿宋_GB2312"/>
          <w:sz w:val="32"/>
          <w:szCs w:val="32"/>
        </w:rPr>
      </w:pPr>
      <w:r>
        <w:rPr>
          <w:rFonts w:hint="eastAsia" w:ascii="仿宋_GB2312" w:eastAsia="仿宋_GB2312" w:cs="仿宋_GB2312"/>
          <w:b/>
          <w:bCs/>
          <w:sz w:val="32"/>
          <w:szCs w:val="32"/>
          <w:shd w:val="clear" w:color="auto" w:fill="FFFFFF"/>
        </w:rPr>
        <w:t>第十八条</w:t>
      </w:r>
      <w:r>
        <w:rPr>
          <w:rFonts w:hint="eastAsia" w:ascii="仿宋_GB2312" w:eastAsia="仿宋_GB2312" w:cs="仿宋_GB2312"/>
          <w:sz w:val="32"/>
          <w:szCs w:val="32"/>
        </w:rPr>
        <w:t>  本办法由苏州市吴江区人民政府解释，具体解释工作由区行政审批局承担。</w:t>
      </w:r>
    </w:p>
    <w:p>
      <w:pPr>
        <w:widowControl/>
        <w:shd w:val="clear" w:color="auto" w:fill="FFFFFF"/>
        <w:spacing w:line="579" w:lineRule="exact"/>
        <w:ind w:firstLine="640"/>
        <w:jc w:val="left"/>
        <w:rPr>
          <w:rFonts w:ascii="仿宋_GB2312" w:eastAsia="仿宋_GB2312" w:cs="仿宋_GB2312"/>
          <w:sz w:val="32"/>
          <w:szCs w:val="32"/>
        </w:rPr>
      </w:pPr>
    </w:p>
    <w:p>
      <w:pPr>
        <w:widowControl/>
        <w:shd w:val="clear" w:color="auto" w:fill="FFFFFF"/>
        <w:spacing w:line="579" w:lineRule="exact"/>
        <w:ind w:firstLine="640"/>
        <w:jc w:val="left"/>
        <w:rPr>
          <w:rFonts w:ascii="仿宋_GB2312" w:eastAsia="仿宋_GB2312" w:cs="仿宋_GB2312"/>
          <w:sz w:val="32"/>
          <w:szCs w:val="32"/>
        </w:rPr>
      </w:pPr>
    </w:p>
    <w:p>
      <w:pPr>
        <w:widowControl/>
        <w:spacing w:line="578" w:lineRule="exact"/>
        <w:jc w:val="left"/>
        <w:rPr>
          <w:rFonts w:ascii="仿宋_GB2312" w:eastAsia="仿宋_GB2312"/>
          <w:sz w:val="32"/>
          <w:szCs w:val="32"/>
        </w:rPr>
        <w:sectPr>
          <w:footerReference r:id="rId5" w:type="first"/>
          <w:footerReference r:id="rId3" w:type="default"/>
          <w:footerReference r:id="rId4" w:type="even"/>
          <w:pgSz w:w="11906" w:h="16838"/>
          <w:pgMar w:top="2098" w:right="1474" w:bottom="1985" w:left="1588" w:header="851" w:footer="992" w:gutter="0"/>
          <w:pgNumType w:fmt="numberInDash"/>
          <w:cols w:space="720" w:num="1"/>
          <w:docGrid w:type="lines" w:linePitch="312" w:charSpace="0"/>
        </w:sectPr>
      </w:pPr>
    </w:p>
    <w:p>
      <w:pPr>
        <w:widowControl/>
        <w:shd w:val="clear" w:color="auto" w:fill="FFFFFF"/>
        <w:spacing w:line="578" w:lineRule="exact"/>
        <w:rPr>
          <w:rFonts w:ascii="黑体" w:hAnsi="黑体" w:eastAsia="黑体" w:cs="楷体"/>
          <w:color w:val="333333"/>
          <w:kern w:val="0"/>
          <w:sz w:val="32"/>
          <w:szCs w:val="32"/>
        </w:rPr>
      </w:pPr>
      <w:r>
        <w:rPr>
          <w:rFonts w:hint="eastAsia" w:ascii="黑体" w:hAnsi="黑体" w:eastAsia="黑体" w:cs="楷体"/>
          <w:color w:val="333333"/>
          <w:kern w:val="0"/>
          <w:sz w:val="32"/>
          <w:szCs w:val="32"/>
        </w:rPr>
        <w:t>附件1</w:t>
      </w:r>
    </w:p>
    <w:p>
      <w:pPr>
        <w:widowControl/>
        <w:shd w:val="clear" w:color="auto" w:fill="FFFFFF"/>
        <w:spacing w:line="578" w:lineRule="exact"/>
        <w:jc w:val="center"/>
        <w:rPr>
          <w:rFonts w:ascii="黑体" w:hAnsi="黑体" w:eastAsia="黑体"/>
          <w:color w:val="333333"/>
          <w:kern w:val="0"/>
          <w:sz w:val="28"/>
          <w:szCs w:val="28"/>
        </w:rPr>
      </w:pPr>
      <w:r>
        <w:rPr>
          <w:rFonts w:hint="eastAsia" w:ascii="黑体" w:hAnsi="黑体" w:eastAsia="黑体"/>
          <w:color w:val="333333"/>
          <w:kern w:val="0"/>
          <w:sz w:val="44"/>
          <w:szCs w:val="44"/>
        </w:rPr>
        <w:t>苏州市吴江区中介机构年度评价评分细则</w:t>
      </w: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710"/>
        <w:gridCol w:w="1935"/>
        <w:gridCol w:w="754"/>
        <w:gridCol w:w="3687"/>
        <w:gridCol w:w="3378"/>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中介机构名称</w:t>
            </w:r>
          </w:p>
        </w:tc>
        <w:tc>
          <w:tcPr>
            <w:tcW w:w="4399" w:type="dxa"/>
            <w:gridSpan w:val="3"/>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c>
          <w:tcPr>
            <w:tcW w:w="3687"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中介服务类别</w:t>
            </w:r>
          </w:p>
        </w:tc>
        <w:tc>
          <w:tcPr>
            <w:tcW w:w="4634"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3090"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考评内容</w:t>
            </w:r>
          </w:p>
        </w:tc>
        <w:tc>
          <w:tcPr>
            <w:tcW w:w="2689"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分数标准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评分标准</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5" w:hRule="atLeast"/>
          <w:jc w:val="center"/>
        </w:trPr>
        <w:tc>
          <w:tcPr>
            <w:tcW w:w="1380" w:type="dxa"/>
            <w:vMerge w:val="restart"/>
            <w:tcBorders>
              <w:top w:val="single" w:color="auto" w:sz="4" w:space="0"/>
              <w:left w:val="single" w:color="auto" w:sz="4" w:space="0"/>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项目考评40分</w:t>
            </w:r>
            <w:r>
              <w:rPr>
                <w:rFonts w:ascii="仿宋" w:hAnsi="仿宋" w:eastAsia="仿宋"/>
                <w:sz w:val="24"/>
                <w:szCs w:val="24"/>
              </w:rPr>
              <w:t>（一事一评）</w:t>
            </w:r>
          </w:p>
          <w:p>
            <w:pPr>
              <w:widowControl/>
              <w:spacing w:line="578" w:lineRule="exact"/>
              <w:jc w:val="left"/>
              <w:rPr>
                <w:rFonts w:ascii="仿宋" w:hAnsi="仿宋" w:eastAsia="仿宋"/>
                <w:sz w:val="24"/>
                <w:szCs w:val="24"/>
              </w:rPr>
            </w:pPr>
          </w:p>
          <w:p>
            <w:pPr>
              <w:widowControl/>
              <w:spacing w:line="578" w:lineRule="exact"/>
              <w:jc w:val="left"/>
              <w:rPr>
                <w:rFonts w:ascii="仿宋" w:hAnsi="仿宋" w:eastAsia="仿宋"/>
                <w:sz w:val="24"/>
                <w:szCs w:val="24"/>
              </w:rPr>
            </w:pPr>
          </w:p>
        </w:tc>
        <w:tc>
          <w:tcPr>
            <w:tcW w:w="1710" w:type="dxa"/>
            <w:vMerge w:val="restart"/>
            <w:tcBorders>
              <w:top w:val="single" w:color="auto" w:sz="4" w:space="0"/>
              <w:left w:val="single" w:color="auto" w:sz="4" w:space="0"/>
              <w:bottom w:val="single" w:color="auto" w:sz="4" w:space="0"/>
              <w:right w:val="single" w:color="auto" w:sz="4" w:space="0"/>
            </w:tcBorders>
            <w:vAlign w:val="center"/>
          </w:tcPr>
          <w:p>
            <w:pPr>
              <w:spacing w:line="578" w:lineRule="exact"/>
            </w:pPr>
            <w:r>
              <w:rPr>
                <w:rFonts w:hint="eastAsia" w:ascii="仿宋" w:hAnsi="仿宋" w:eastAsia="仿宋" w:cs="宋体"/>
                <w:sz w:val="24"/>
                <w:szCs w:val="24"/>
              </w:rPr>
              <w:t>服务质量、服务效率、服务收费、服务态度4个方面评价（当年无评价的，计基准分28分）</w:t>
            </w:r>
          </w:p>
        </w:tc>
        <w:tc>
          <w:tcPr>
            <w:tcW w:w="2689"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五星（36-4</w:t>
            </w:r>
            <w:r>
              <w:rPr>
                <w:rFonts w:hint="eastAsia" w:ascii="仿宋" w:hAnsi="仿宋" w:eastAsia="仿宋" w:cs="Calibri"/>
                <w:sz w:val="24"/>
                <w:szCs w:val="24"/>
              </w:rPr>
              <w:t>0</w:t>
            </w:r>
            <w:r>
              <w:rPr>
                <w:rFonts w:hint="eastAsia" w:ascii="仿宋" w:hAnsi="仿宋" w:eastAsia="仿宋"/>
                <w:sz w:val="24"/>
                <w:szCs w:val="24"/>
              </w:rPr>
              <w:t>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cs="宋体"/>
                <w:sz w:val="24"/>
                <w:szCs w:val="24"/>
              </w:rPr>
              <w:t>在合同规定或服务承诺时限，提前完成服务成果的编制工作，服务成果质量高，收费合理，服务态度很好。</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80" w:type="dxa"/>
            <w:vMerge w:val="continue"/>
            <w:tcBorders>
              <w:top w:val="single" w:color="auto" w:sz="4" w:space="0"/>
              <w:left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四星（</w:t>
            </w:r>
            <w:r>
              <w:rPr>
                <w:rFonts w:hint="eastAsia" w:ascii="仿宋" w:hAnsi="仿宋" w:eastAsia="仿宋" w:cs="Calibri"/>
                <w:sz w:val="24"/>
                <w:szCs w:val="24"/>
              </w:rPr>
              <w:t>31-35</w:t>
            </w:r>
            <w:r>
              <w:rPr>
                <w:rFonts w:hint="eastAsia" w:ascii="仿宋" w:hAnsi="仿宋" w:eastAsia="仿宋"/>
                <w:sz w:val="24"/>
                <w:szCs w:val="24"/>
              </w:rPr>
              <w:t>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cs="宋体"/>
                <w:sz w:val="24"/>
                <w:szCs w:val="24"/>
              </w:rPr>
              <w:t>在合同规定或服务承诺时限，按时完成服务成果的编制，服务成果质量较高，收费合理，服务态度好。</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80" w:type="dxa"/>
            <w:vMerge w:val="continue"/>
            <w:tcBorders>
              <w:top w:val="single" w:color="auto" w:sz="4" w:space="0"/>
              <w:left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三星（</w:t>
            </w:r>
            <w:r>
              <w:rPr>
                <w:rFonts w:hint="eastAsia" w:ascii="仿宋" w:hAnsi="仿宋" w:eastAsia="仿宋" w:cs="Calibri"/>
                <w:sz w:val="24"/>
                <w:szCs w:val="24"/>
              </w:rPr>
              <w:t>21-30分</w:t>
            </w:r>
            <w:r>
              <w:rPr>
                <w:rFonts w:hint="eastAsia" w:ascii="仿宋" w:hAnsi="仿宋" w:eastAsia="仿宋"/>
                <w:sz w:val="24"/>
                <w:szCs w:val="24"/>
              </w:rPr>
              <w:t>）</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在合同规定或服务承诺时限，按时完成服务成果的编制，服务成果质量较好，收费合理，服务态度较好。</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二星（11</w:t>
            </w:r>
            <w:r>
              <w:rPr>
                <w:rFonts w:hint="eastAsia" w:ascii="仿宋" w:hAnsi="仿宋" w:eastAsia="仿宋" w:cs="Calibri"/>
                <w:sz w:val="24"/>
                <w:szCs w:val="24"/>
              </w:rPr>
              <w:t>-20分</w:t>
            </w:r>
            <w:r>
              <w:rPr>
                <w:rFonts w:hint="eastAsia" w:ascii="仿宋" w:hAnsi="仿宋" w:eastAsia="仿宋"/>
                <w:sz w:val="24"/>
                <w:szCs w:val="24"/>
              </w:rPr>
              <w:t>）</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在合同规定或服务承诺时限，超时完成服务成果的编制，服务成果质量较差，收费合理，服务态度一般。</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一星10分（含）以下</w:t>
            </w:r>
          </w:p>
        </w:tc>
        <w:tc>
          <w:tcPr>
            <w:tcW w:w="7065"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cs="宋体"/>
                <w:sz w:val="24"/>
                <w:szCs w:val="24"/>
              </w:rPr>
              <w:t>超时完成服务成果的编制，达不到审批部门要求，需多次进行修改，服务成果质量差，给单位造成一定损失，存在擅自提高收费标准、增设收费项目，服务态度较差。</w:t>
            </w:r>
          </w:p>
        </w:tc>
        <w:tc>
          <w:tcPr>
            <w:tcW w:w="125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7"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578" w:lineRule="exact"/>
              <w:jc w:val="center"/>
              <w:rPr>
                <w:rFonts w:ascii="仿宋" w:hAnsi="仿宋" w:eastAsia="仿宋"/>
                <w:sz w:val="24"/>
                <w:szCs w:val="24"/>
              </w:rPr>
            </w:pPr>
            <w:r>
              <w:rPr>
                <w:rFonts w:hint="eastAsia" w:ascii="仿宋" w:hAnsi="仿宋" w:eastAsia="仿宋"/>
                <w:sz w:val="24"/>
                <w:szCs w:val="24"/>
              </w:rPr>
              <w:t>业绩奖励</w:t>
            </w:r>
          </w:p>
        </w:tc>
        <w:tc>
          <w:tcPr>
            <w:tcW w:w="2689"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完成项目交易数</w:t>
            </w:r>
          </w:p>
        </w:tc>
        <w:tc>
          <w:tcPr>
            <w:tcW w:w="7065"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评价周期内完成项目交易量排名：第1-10名加5分；第11-20名加4分；第21-30名加3分；第31-40名加4分；第41-50名加1分；无交易量不计入名次。入驻中介超市的中介由中介超市监管平台自动采集数据。中介超市之外的中介机构由各行业主管（管理）部门提供数据。</w:t>
            </w:r>
          </w:p>
        </w:tc>
        <w:tc>
          <w:tcPr>
            <w:tcW w:w="125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38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textAlignment w:val="baseline"/>
              <w:rPr>
                <w:rFonts w:ascii="仿宋" w:hAnsi="仿宋" w:eastAsia="仿宋"/>
                <w:sz w:val="24"/>
                <w:szCs w:val="24"/>
              </w:rPr>
            </w:pPr>
            <w:r>
              <w:rPr>
                <w:rFonts w:hint="eastAsia" w:ascii="仿宋" w:hAnsi="仿宋" w:eastAsia="仿宋" w:cs="宋体"/>
                <w:sz w:val="24"/>
                <w:szCs w:val="24"/>
              </w:rPr>
              <w:t>业务考评40分（年度一评）</w:t>
            </w:r>
          </w:p>
        </w:tc>
        <w:tc>
          <w:tcPr>
            <w:tcW w:w="1710"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textAlignment w:val="baseline"/>
              <w:rPr>
                <w:rFonts w:ascii="仿宋" w:hAnsi="仿宋" w:eastAsia="仿宋"/>
                <w:sz w:val="24"/>
                <w:szCs w:val="24"/>
              </w:rPr>
            </w:pPr>
            <w:r>
              <w:rPr>
                <w:rFonts w:hint="eastAsia" w:ascii="仿宋" w:hAnsi="仿宋" w:eastAsia="仿宋"/>
                <w:sz w:val="24"/>
                <w:szCs w:val="24"/>
              </w:rPr>
              <w:t>未入交易中心其他类别中介机构</w:t>
            </w:r>
          </w:p>
        </w:tc>
        <w:tc>
          <w:tcPr>
            <w:tcW w:w="1935"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行业主管（管理）部门评价（未得到评价计基准分28分）</w:t>
            </w:r>
          </w:p>
        </w:tc>
        <w:tc>
          <w:tcPr>
            <w:tcW w:w="754"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40分</w:t>
            </w:r>
          </w:p>
        </w:tc>
        <w:tc>
          <w:tcPr>
            <w:tcW w:w="7065" w:type="dxa"/>
            <w:gridSpan w:val="2"/>
            <w:tcBorders>
              <w:top w:val="single" w:color="auto" w:sz="4" w:space="0"/>
              <w:left w:val="single" w:color="auto" w:sz="4" w:space="0"/>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cs="宋体"/>
                <w:sz w:val="24"/>
                <w:szCs w:val="24"/>
              </w:rPr>
              <w:t>行业主管（管理）部门根据中介机构在行业规范、业务质量及执业档案等方面的情况进行考评，每年度向中介监管办提供考评结果。具体考评细则由行业主管（管理）部门制定。</w:t>
            </w:r>
          </w:p>
        </w:tc>
        <w:tc>
          <w:tcPr>
            <w:tcW w:w="1256" w:type="dxa"/>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170" w:hRule="atLeast"/>
          <w:jc w:val="center"/>
        </w:trPr>
        <w:tc>
          <w:tcPr>
            <w:tcW w:w="1380" w:type="dxa"/>
            <w:vMerge w:val="restart"/>
            <w:tcBorders>
              <w:top w:val="single" w:color="auto" w:sz="4" w:space="0"/>
              <w:left w:val="single" w:color="auto" w:sz="4" w:space="0"/>
              <w:right w:val="single" w:color="auto" w:sz="4" w:space="0"/>
            </w:tcBorders>
            <w:vAlign w:val="center"/>
          </w:tcPr>
          <w:p>
            <w:pPr>
              <w:spacing w:line="578" w:lineRule="exact"/>
              <w:jc w:val="center"/>
              <w:textAlignment w:val="baseline"/>
              <w:rPr>
                <w:rFonts w:ascii="仿宋" w:hAnsi="仿宋" w:eastAsia="仿宋" w:cs="宋体"/>
                <w:sz w:val="24"/>
                <w:szCs w:val="24"/>
              </w:rPr>
            </w:pPr>
            <w:r>
              <w:rPr>
                <w:rFonts w:hint="eastAsia" w:ascii="仿宋" w:hAnsi="仿宋" w:eastAsia="仿宋" w:cs="宋体"/>
                <w:sz w:val="24"/>
                <w:szCs w:val="24"/>
              </w:rPr>
              <w:t>业务考评40分（年度一评）</w:t>
            </w:r>
          </w:p>
        </w:tc>
        <w:tc>
          <w:tcPr>
            <w:tcW w:w="1710" w:type="dxa"/>
            <w:vMerge w:val="restart"/>
            <w:tcBorders>
              <w:top w:val="single" w:color="auto" w:sz="4" w:space="0"/>
              <w:left w:val="single" w:color="auto" w:sz="4" w:space="0"/>
              <w:right w:val="single" w:color="auto" w:sz="4" w:space="0"/>
            </w:tcBorders>
            <w:vAlign w:val="center"/>
          </w:tcPr>
          <w:p>
            <w:pPr>
              <w:spacing w:line="578" w:lineRule="exact"/>
              <w:jc w:val="center"/>
              <w:textAlignment w:val="baseline"/>
              <w:rPr>
                <w:rFonts w:ascii="仿宋" w:hAnsi="仿宋" w:eastAsia="仿宋"/>
                <w:sz w:val="24"/>
                <w:szCs w:val="24"/>
              </w:rPr>
            </w:pPr>
            <w:r>
              <w:rPr>
                <w:rFonts w:hint="eastAsia" w:ascii="仿宋" w:hAnsi="仿宋" w:eastAsia="仿宋"/>
                <w:sz w:val="24"/>
                <w:szCs w:val="24"/>
              </w:rPr>
              <w:t>进入交易中心招标（采购）代理机构</w:t>
            </w:r>
          </w:p>
        </w:tc>
        <w:tc>
          <w:tcPr>
            <w:tcW w:w="1935"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行业主管（管理）部门评价（未得到评价得基准分14分）</w:t>
            </w:r>
          </w:p>
        </w:tc>
        <w:tc>
          <w:tcPr>
            <w:tcW w:w="754"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20分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行业主管（管理）部门根据中介机构在行业规范、业务质量及执业档案等方面的情况进行考评，每年度向中介监管办提供考评结果，具体考评细则由行业主管（管理）部门制定。</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1380" w:type="dxa"/>
            <w:vMerge w:val="continue"/>
            <w:tcBorders>
              <w:left w:val="single" w:color="auto" w:sz="4" w:space="0"/>
              <w:bottom w:val="single" w:color="auto" w:sz="4" w:space="0"/>
              <w:right w:val="single" w:color="auto" w:sz="4" w:space="0"/>
            </w:tcBorders>
            <w:vAlign w:val="center"/>
          </w:tcPr>
          <w:p>
            <w:pPr>
              <w:spacing w:line="578" w:lineRule="exact"/>
              <w:jc w:val="center"/>
              <w:textAlignment w:val="baseline"/>
              <w:rPr>
                <w:rFonts w:ascii="仿宋" w:hAnsi="仿宋" w:eastAsia="仿宋" w:cs="宋体"/>
                <w:sz w:val="24"/>
                <w:szCs w:val="24"/>
              </w:rPr>
            </w:pPr>
          </w:p>
        </w:tc>
        <w:tc>
          <w:tcPr>
            <w:tcW w:w="1710" w:type="dxa"/>
            <w:vMerge w:val="continue"/>
            <w:tcBorders>
              <w:left w:val="single" w:color="auto" w:sz="4" w:space="0"/>
              <w:bottom w:val="single" w:color="auto" w:sz="4" w:space="0"/>
              <w:right w:val="single" w:color="auto" w:sz="4" w:space="0"/>
            </w:tcBorders>
            <w:vAlign w:val="center"/>
          </w:tcPr>
          <w:p>
            <w:pPr>
              <w:spacing w:line="578" w:lineRule="exact"/>
              <w:jc w:val="center"/>
              <w:textAlignment w:val="baseline"/>
              <w:rPr>
                <w:rFonts w:ascii="仿宋" w:hAnsi="仿宋" w:eastAsia="仿宋" w:cs="宋体"/>
                <w:sz w:val="24"/>
                <w:szCs w:val="24"/>
              </w:rPr>
            </w:pPr>
          </w:p>
        </w:tc>
        <w:tc>
          <w:tcPr>
            <w:tcW w:w="1935"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交易中心评价（未得到评价计基准分14分）</w:t>
            </w:r>
          </w:p>
        </w:tc>
        <w:tc>
          <w:tcPr>
            <w:tcW w:w="754"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20分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交易中心根据中介机构在现场服务行为的规范、效率、诚信及纪律等进行考评，每年度向中介监管办提供考评结果，具体考评细则由交易中心制定。</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380" w:type="dxa"/>
            <w:vMerge w:val="restart"/>
            <w:tcBorders>
              <w:top w:val="single" w:color="auto" w:sz="4" w:space="0"/>
              <w:left w:val="single" w:color="auto" w:sz="4" w:space="0"/>
              <w:bottom w:val="single" w:color="auto" w:sz="4" w:space="0"/>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日常考评20分（年度一评）</w:t>
            </w:r>
          </w:p>
        </w:tc>
        <w:tc>
          <w:tcPr>
            <w:tcW w:w="1710" w:type="dxa"/>
            <w:vMerge w:val="restart"/>
            <w:tcBorders>
              <w:top w:val="single" w:color="auto" w:sz="4" w:space="0"/>
              <w:left w:val="nil"/>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cs="宋体"/>
                <w:sz w:val="24"/>
                <w:szCs w:val="24"/>
              </w:rPr>
              <w:t>服务评价（未得到评价的，计基准分</w:t>
            </w:r>
            <w:r>
              <w:rPr>
                <w:rFonts w:hint="eastAsia" w:ascii="仿宋" w:hAnsi="仿宋" w:eastAsia="仿宋"/>
                <w:sz w:val="24"/>
                <w:szCs w:val="24"/>
              </w:rPr>
              <w:t>14</w:t>
            </w:r>
            <w:r>
              <w:rPr>
                <w:rFonts w:hint="eastAsia" w:ascii="仿宋" w:hAnsi="仿宋" w:eastAsia="仿宋" w:cs="宋体"/>
                <w:sz w:val="24"/>
                <w:szCs w:val="24"/>
              </w:rPr>
              <w:t>分）</w:t>
            </w:r>
          </w:p>
        </w:tc>
        <w:tc>
          <w:tcPr>
            <w:tcW w:w="2689" w:type="dxa"/>
            <w:gridSpan w:val="2"/>
            <w:vMerge w:val="restart"/>
            <w:tcBorders>
              <w:top w:val="single" w:color="auto" w:sz="4" w:space="0"/>
              <w:left w:val="nil"/>
              <w:right w:val="single" w:color="auto" w:sz="4" w:space="0"/>
            </w:tcBorders>
            <w:vAlign w:val="center"/>
          </w:tcPr>
          <w:p>
            <w:pPr>
              <w:spacing w:line="578" w:lineRule="exact"/>
              <w:jc w:val="center"/>
              <w:rPr>
                <w:rFonts w:ascii="仿宋" w:hAnsi="仿宋" w:eastAsia="仿宋"/>
                <w:sz w:val="24"/>
                <w:szCs w:val="24"/>
              </w:rPr>
            </w:pPr>
            <w:r>
              <w:rPr>
                <w:rFonts w:hint="eastAsia" w:ascii="仿宋" w:hAnsi="仿宋" w:eastAsia="仿宋"/>
                <w:sz w:val="24"/>
                <w:szCs w:val="24"/>
              </w:rPr>
              <w:t>20分</w:t>
            </w: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sz w:val="24"/>
                <w:szCs w:val="24"/>
              </w:rPr>
              <w:t>1.服务规范</w:t>
            </w:r>
          </w:p>
          <w:p>
            <w:pPr>
              <w:spacing w:line="578" w:lineRule="exact"/>
              <w:jc w:val="left"/>
              <w:rPr>
                <w:rFonts w:ascii="仿宋" w:hAnsi="仿宋" w:eastAsia="仿宋"/>
                <w:sz w:val="24"/>
                <w:szCs w:val="24"/>
              </w:rPr>
            </w:pPr>
            <w:r>
              <w:rPr>
                <w:rFonts w:hint="eastAsia" w:ascii="仿宋" w:hAnsi="仿宋" w:eastAsia="仿宋" w:cs="宋体"/>
                <w:sz w:val="24"/>
                <w:szCs w:val="24"/>
              </w:rPr>
              <w:t>①未落实一次性告知制的，一次扣</w:t>
            </w:r>
            <w:r>
              <w:rPr>
                <w:rFonts w:hint="eastAsia" w:ascii="仿宋" w:hAnsi="仿宋" w:eastAsia="仿宋" w:cs="Calibri"/>
                <w:sz w:val="24"/>
                <w:szCs w:val="24"/>
              </w:rPr>
              <w:t>1</w:t>
            </w:r>
            <w:r>
              <w:rPr>
                <w:rFonts w:hint="eastAsia" w:ascii="仿宋" w:hAnsi="仿宋" w:eastAsia="仿宋"/>
                <w:sz w:val="24"/>
                <w:szCs w:val="24"/>
              </w:rPr>
              <w:t>分；</w:t>
            </w:r>
          </w:p>
          <w:p>
            <w:pPr>
              <w:spacing w:line="578" w:lineRule="exact"/>
              <w:jc w:val="left"/>
              <w:rPr>
                <w:rFonts w:ascii="仿宋" w:hAnsi="仿宋" w:eastAsia="仿宋"/>
                <w:sz w:val="24"/>
                <w:szCs w:val="24"/>
              </w:rPr>
            </w:pPr>
            <w:r>
              <w:rPr>
                <w:rFonts w:hint="eastAsia" w:ascii="仿宋" w:hAnsi="仿宋" w:eastAsia="仿宋" w:cs="宋体"/>
                <w:sz w:val="24"/>
                <w:szCs w:val="24"/>
              </w:rPr>
              <w:t>②未向社会公开公示服务内容、服务收费、收费标准和执业人员信息等，一次扣1分；</w:t>
            </w:r>
          </w:p>
          <w:p>
            <w:pPr>
              <w:spacing w:line="578" w:lineRule="exact"/>
              <w:jc w:val="left"/>
              <w:rPr>
                <w:rFonts w:ascii="仿宋" w:hAnsi="仿宋" w:eastAsia="仿宋"/>
                <w:sz w:val="24"/>
                <w:szCs w:val="24"/>
              </w:rPr>
            </w:pPr>
            <w:r>
              <w:rPr>
                <w:rFonts w:hint="eastAsia" w:ascii="仿宋" w:hAnsi="仿宋" w:eastAsia="仿宋" w:cs="Calibri"/>
                <w:sz w:val="24"/>
                <w:szCs w:val="24"/>
              </w:rPr>
              <w:t>③</w:t>
            </w:r>
            <w:r>
              <w:rPr>
                <w:rFonts w:hint="eastAsia" w:ascii="仿宋" w:hAnsi="仿宋" w:eastAsia="仿宋" w:cs="宋体"/>
                <w:sz w:val="24"/>
                <w:szCs w:val="24"/>
              </w:rPr>
              <w:t>项目业主反映中介机构服务态度差的，经查实一次扣</w:t>
            </w:r>
            <w:r>
              <w:rPr>
                <w:rFonts w:hint="eastAsia" w:ascii="仿宋" w:hAnsi="仿宋" w:eastAsia="仿宋" w:cs="Calibri"/>
                <w:sz w:val="24"/>
                <w:szCs w:val="24"/>
              </w:rPr>
              <w:t>1</w:t>
            </w:r>
            <w:r>
              <w:rPr>
                <w:rFonts w:hint="eastAsia" w:ascii="仿宋" w:hAnsi="仿宋" w:eastAsia="仿宋"/>
                <w:sz w:val="24"/>
                <w:szCs w:val="24"/>
              </w:rPr>
              <w:t>分。</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7"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left w:val="nil"/>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vMerge w:val="continue"/>
            <w:tcBorders>
              <w:left w:val="nil"/>
              <w:right w:val="single" w:color="auto" w:sz="4" w:space="0"/>
            </w:tcBorders>
            <w:vAlign w:val="center"/>
          </w:tcPr>
          <w:p>
            <w:pPr>
              <w:widowControl/>
              <w:spacing w:line="578" w:lineRule="exact"/>
              <w:jc w:val="left"/>
              <w:rPr>
                <w:rFonts w:ascii="仿宋" w:hAnsi="仿宋" w:eastAsia="仿宋"/>
                <w:sz w:val="24"/>
                <w:szCs w:val="24"/>
              </w:rPr>
            </w:pP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sz w:val="24"/>
                <w:szCs w:val="24"/>
              </w:rPr>
              <w:t>2.服务效率</w:t>
            </w:r>
          </w:p>
          <w:p>
            <w:pPr>
              <w:spacing w:line="578" w:lineRule="exact"/>
              <w:jc w:val="left"/>
              <w:rPr>
                <w:rFonts w:ascii="仿宋" w:hAnsi="仿宋" w:eastAsia="仿宋"/>
                <w:sz w:val="24"/>
                <w:szCs w:val="24"/>
              </w:rPr>
            </w:pPr>
            <w:r>
              <w:rPr>
                <w:rFonts w:hint="eastAsia" w:ascii="仿宋" w:hAnsi="仿宋" w:eastAsia="仿宋" w:cs="宋体"/>
                <w:sz w:val="24"/>
                <w:szCs w:val="24"/>
              </w:rPr>
              <w:t>①中介机构中选后，未按规定时间内与甲方联系确认的，一次扣</w:t>
            </w:r>
            <w:r>
              <w:rPr>
                <w:rFonts w:hint="eastAsia" w:ascii="仿宋" w:hAnsi="仿宋" w:eastAsia="仿宋" w:cs="Calibri"/>
                <w:sz w:val="24"/>
                <w:szCs w:val="24"/>
              </w:rPr>
              <w:t>1</w:t>
            </w:r>
            <w:r>
              <w:rPr>
                <w:rFonts w:hint="eastAsia" w:ascii="仿宋" w:hAnsi="仿宋" w:eastAsia="仿宋"/>
                <w:sz w:val="24"/>
                <w:szCs w:val="24"/>
              </w:rPr>
              <w:t>分；</w:t>
            </w:r>
          </w:p>
          <w:p>
            <w:pPr>
              <w:spacing w:line="578" w:lineRule="exact"/>
              <w:jc w:val="left"/>
              <w:rPr>
                <w:rFonts w:ascii="仿宋" w:hAnsi="仿宋" w:eastAsia="仿宋"/>
                <w:sz w:val="24"/>
                <w:szCs w:val="24"/>
              </w:rPr>
            </w:pPr>
            <w:r>
              <w:rPr>
                <w:rFonts w:hint="eastAsia" w:ascii="仿宋" w:hAnsi="仿宋" w:eastAsia="仿宋" w:cs="宋体"/>
                <w:sz w:val="24"/>
                <w:szCs w:val="24"/>
              </w:rPr>
              <w:t>②合同签订后，未按规定时间内上传合同备案的，一次扣</w:t>
            </w:r>
            <w:r>
              <w:rPr>
                <w:rFonts w:hint="eastAsia" w:ascii="仿宋" w:hAnsi="仿宋" w:eastAsia="仿宋" w:cs="Calibri"/>
                <w:sz w:val="24"/>
                <w:szCs w:val="24"/>
              </w:rPr>
              <w:t>1</w:t>
            </w:r>
            <w:r>
              <w:rPr>
                <w:rFonts w:hint="eastAsia" w:ascii="仿宋" w:hAnsi="仿宋" w:eastAsia="仿宋"/>
                <w:sz w:val="24"/>
                <w:szCs w:val="24"/>
              </w:rPr>
              <w:t>分；</w:t>
            </w:r>
          </w:p>
          <w:p>
            <w:pPr>
              <w:spacing w:line="578" w:lineRule="exact"/>
              <w:jc w:val="left"/>
              <w:rPr>
                <w:rFonts w:ascii="仿宋" w:hAnsi="仿宋" w:eastAsia="仿宋"/>
                <w:sz w:val="24"/>
                <w:szCs w:val="24"/>
              </w:rPr>
            </w:pPr>
            <w:r>
              <w:rPr>
                <w:rFonts w:hint="eastAsia" w:ascii="仿宋" w:hAnsi="仿宋" w:eastAsia="仿宋" w:cs="Calibri"/>
                <w:sz w:val="24"/>
                <w:szCs w:val="24"/>
              </w:rPr>
              <w:t>③</w:t>
            </w:r>
            <w:r>
              <w:rPr>
                <w:rFonts w:hint="eastAsia" w:ascii="仿宋" w:hAnsi="仿宋" w:eastAsia="仿宋" w:cs="宋体"/>
                <w:sz w:val="24"/>
                <w:szCs w:val="24"/>
              </w:rPr>
              <w:t>服务完成后，未按规定时间内上传服务成果的，一次扣</w:t>
            </w:r>
            <w:r>
              <w:rPr>
                <w:rFonts w:hint="eastAsia" w:ascii="仿宋" w:hAnsi="仿宋" w:eastAsia="仿宋" w:cs="Calibri"/>
                <w:sz w:val="24"/>
                <w:szCs w:val="24"/>
              </w:rPr>
              <w:t>1</w:t>
            </w:r>
            <w:r>
              <w:rPr>
                <w:rFonts w:hint="eastAsia" w:ascii="仿宋" w:hAnsi="仿宋" w:eastAsia="仿宋"/>
                <w:sz w:val="24"/>
                <w:szCs w:val="24"/>
              </w:rPr>
              <w:t>分。</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7"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left w:val="nil"/>
              <w:right w:val="single" w:color="auto" w:sz="4" w:space="0"/>
            </w:tcBorders>
            <w:vAlign w:val="center"/>
          </w:tcPr>
          <w:p>
            <w:pPr>
              <w:widowControl/>
              <w:spacing w:line="578" w:lineRule="exact"/>
              <w:jc w:val="left"/>
              <w:rPr>
                <w:rFonts w:ascii="仿宋" w:hAnsi="仿宋" w:eastAsia="仿宋"/>
                <w:sz w:val="24"/>
                <w:szCs w:val="24"/>
              </w:rPr>
            </w:pPr>
          </w:p>
        </w:tc>
        <w:tc>
          <w:tcPr>
            <w:tcW w:w="2689" w:type="dxa"/>
            <w:gridSpan w:val="2"/>
            <w:vMerge w:val="continue"/>
            <w:tcBorders>
              <w:left w:val="nil"/>
              <w:right w:val="single" w:color="auto" w:sz="4" w:space="0"/>
            </w:tcBorders>
            <w:vAlign w:val="center"/>
          </w:tcPr>
          <w:p>
            <w:pPr>
              <w:widowControl/>
              <w:spacing w:line="578" w:lineRule="exact"/>
              <w:jc w:val="left"/>
              <w:rPr>
                <w:rFonts w:ascii="仿宋" w:hAnsi="仿宋" w:eastAsia="仿宋"/>
                <w:sz w:val="24"/>
                <w:szCs w:val="24"/>
              </w:rPr>
            </w:pP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sz w:val="24"/>
                <w:szCs w:val="24"/>
              </w:rPr>
            </w:pPr>
            <w:r>
              <w:rPr>
                <w:rFonts w:hint="eastAsia" w:ascii="仿宋" w:hAnsi="仿宋" w:eastAsia="仿宋"/>
                <w:sz w:val="24"/>
                <w:szCs w:val="24"/>
              </w:rPr>
              <w:t>3.服务诚信</w:t>
            </w:r>
          </w:p>
          <w:p>
            <w:pPr>
              <w:spacing w:line="578" w:lineRule="exact"/>
              <w:jc w:val="left"/>
              <w:rPr>
                <w:rFonts w:ascii="仿宋" w:hAnsi="仿宋" w:eastAsia="仿宋"/>
                <w:sz w:val="24"/>
                <w:szCs w:val="24"/>
              </w:rPr>
            </w:pPr>
            <w:r>
              <w:rPr>
                <w:rFonts w:hint="eastAsia" w:ascii="仿宋" w:hAnsi="仿宋" w:eastAsia="仿宋" w:cs="宋体"/>
                <w:sz w:val="24"/>
                <w:szCs w:val="24"/>
              </w:rPr>
              <w:t>①</w:t>
            </w:r>
            <w:r>
              <w:rPr>
                <w:rFonts w:hint="eastAsia" w:ascii="仿宋" w:hAnsi="仿宋" w:eastAsia="仿宋"/>
                <w:sz w:val="24"/>
                <w:szCs w:val="24"/>
              </w:rPr>
              <w:t>中介机构提供的联系方式无效的，一次扣</w:t>
            </w:r>
            <w:r>
              <w:rPr>
                <w:rFonts w:hint="eastAsia" w:ascii="仿宋" w:hAnsi="仿宋" w:eastAsia="仿宋" w:cs="Calibri"/>
                <w:sz w:val="24"/>
                <w:szCs w:val="24"/>
              </w:rPr>
              <w:t>1</w:t>
            </w:r>
            <w:r>
              <w:rPr>
                <w:rFonts w:hint="eastAsia" w:ascii="仿宋" w:hAnsi="仿宋" w:eastAsia="仿宋"/>
                <w:sz w:val="24"/>
                <w:szCs w:val="24"/>
              </w:rPr>
              <w:t>分；</w:t>
            </w:r>
          </w:p>
          <w:p>
            <w:pPr>
              <w:spacing w:line="578" w:lineRule="exact"/>
              <w:jc w:val="left"/>
              <w:rPr>
                <w:rFonts w:ascii="仿宋" w:hAnsi="仿宋" w:eastAsia="仿宋"/>
                <w:sz w:val="24"/>
                <w:szCs w:val="24"/>
              </w:rPr>
            </w:pPr>
            <w:r>
              <w:rPr>
                <w:rFonts w:hint="eastAsia" w:ascii="仿宋" w:hAnsi="仿宋" w:eastAsia="仿宋" w:cs="宋体"/>
                <w:sz w:val="24"/>
                <w:szCs w:val="24"/>
              </w:rPr>
              <w:t>②</w:t>
            </w:r>
            <w:r>
              <w:rPr>
                <w:rFonts w:hint="eastAsia" w:ascii="仿宋" w:hAnsi="仿宋" w:eastAsia="仿宋"/>
                <w:sz w:val="24"/>
                <w:szCs w:val="24"/>
              </w:rPr>
              <w:t>中介机构法人、联系人、固定执业人员等人员信息不齐全、更新不及时的，一次扣</w:t>
            </w:r>
            <w:r>
              <w:rPr>
                <w:rFonts w:hint="eastAsia" w:ascii="仿宋" w:hAnsi="仿宋" w:eastAsia="仿宋" w:cs="Calibri"/>
                <w:sz w:val="24"/>
                <w:szCs w:val="24"/>
              </w:rPr>
              <w:t>1</w:t>
            </w:r>
            <w:r>
              <w:rPr>
                <w:rFonts w:hint="eastAsia" w:ascii="仿宋" w:hAnsi="仿宋" w:eastAsia="仿宋"/>
                <w:sz w:val="24"/>
                <w:szCs w:val="24"/>
              </w:rPr>
              <w:t>分；</w:t>
            </w:r>
          </w:p>
          <w:p>
            <w:pPr>
              <w:spacing w:line="578" w:lineRule="exact"/>
              <w:jc w:val="left"/>
              <w:rPr>
                <w:rFonts w:ascii="仿宋" w:hAnsi="仿宋" w:eastAsia="仿宋"/>
                <w:sz w:val="24"/>
                <w:szCs w:val="24"/>
              </w:rPr>
            </w:pPr>
            <w:r>
              <w:rPr>
                <w:rFonts w:hint="eastAsia" w:ascii="仿宋" w:hAnsi="仿宋" w:eastAsia="仿宋" w:cs="宋体"/>
                <w:sz w:val="24"/>
                <w:szCs w:val="24"/>
              </w:rPr>
              <w:t>③</w:t>
            </w:r>
            <w:r>
              <w:rPr>
                <w:rFonts w:hint="eastAsia" w:ascii="仿宋" w:hAnsi="仿宋" w:eastAsia="仿宋"/>
                <w:sz w:val="24"/>
                <w:szCs w:val="24"/>
              </w:rPr>
              <w:t>营业执照或资质证书等到期未更新的，发现一次扣1分。</w:t>
            </w:r>
          </w:p>
          <w:p>
            <w:pPr>
              <w:spacing w:line="578" w:lineRule="exact"/>
              <w:jc w:val="left"/>
              <w:rPr>
                <w:rFonts w:ascii="仿宋" w:hAnsi="仿宋" w:eastAsia="仿宋" w:cs="仿宋"/>
                <w:sz w:val="24"/>
                <w:szCs w:val="24"/>
              </w:rPr>
            </w:pPr>
            <w:r>
              <w:rPr>
                <w:rFonts w:hint="eastAsia" w:ascii="仿宋" w:hAnsi="仿宋" w:eastAsia="仿宋" w:cs="仿宋"/>
                <w:sz w:val="24"/>
                <w:szCs w:val="24"/>
              </w:rPr>
              <w:t>④中介机构未依法建立公积金制度且拒不整改的，一次扣2分。</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1380"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578" w:lineRule="exact"/>
              <w:jc w:val="left"/>
              <w:rPr>
                <w:rFonts w:ascii="仿宋" w:hAnsi="仿宋" w:eastAsia="仿宋"/>
                <w:sz w:val="24"/>
                <w:szCs w:val="24"/>
              </w:rPr>
            </w:pPr>
          </w:p>
        </w:tc>
        <w:tc>
          <w:tcPr>
            <w:tcW w:w="1710" w:type="dxa"/>
            <w:vMerge w:val="continue"/>
            <w:tcBorders>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c>
          <w:tcPr>
            <w:tcW w:w="2689" w:type="dxa"/>
            <w:gridSpan w:val="2"/>
            <w:vMerge w:val="continue"/>
            <w:tcBorders>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c>
          <w:tcPr>
            <w:tcW w:w="7065" w:type="dxa"/>
            <w:gridSpan w:val="2"/>
            <w:tcBorders>
              <w:top w:val="single" w:color="auto" w:sz="4" w:space="0"/>
              <w:left w:val="nil"/>
              <w:bottom w:val="single" w:color="auto" w:sz="4" w:space="0"/>
              <w:right w:val="single" w:color="auto" w:sz="4" w:space="0"/>
            </w:tcBorders>
            <w:vAlign w:val="center"/>
          </w:tcPr>
          <w:p>
            <w:pPr>
              <w:spacing w:line="578" w:lineRule="exact"/>
              <w:jc w:val="left"/>
              <w:rPr>
                <w:rFonts w:ascii="仿宋" w:hAnsi="仿宋" w:eastAsia="仿宋"/>
                <w:color w:val="000000" w:themeColor="text1"/>
                <w:sz w:val="24"/>
                <w:szCs w:val="24"/>
              </w:rPr>
            </w:pPr>
            <w:r>
              <w:rPr>
                <w:rFonts w:hint="eastAsia" w:ascii="仿宋" w:hAnsi="仿宋" w:eastAsia="仿宋"/>
                <w:color w:val="000000" w:themeColor="text1"/>
                <w:sz w:val="24"/>
                <w:szCs w:val="24"/>
              </w:rPr>
              <w:t>4.日常监管</w:t>
            </w:r>
          </w:p>
          <w:p>
            <w:pPr>
              <w:spacing w:line="578" w:lineRule="exact"/>
              <w:jc w:val="left"/>
              <w:rPr>
                <w:rFonts w:ascii="仿宋" w:hAnsi="仿宋" w:eastAsia="仿宋"/>
                <w:sz w:val="24"/>
                <w:szCs w:val="24"/>
              </w:rPr>
            </w:pPr>
            <w:r>
              <w:rPr>
                <w:rFonts w:hint="eastAsia" w:ascii="仿宋" w:hAnsi="仿宋" w:eastAsia="仿宋"/>
                <w:color w:val="000000" w:themeColor="text1"/>
                <w:sz w:val="24"/>
                <w:szCs w:val="24"/>
              </w:rPr>
              <w:t>日常收到投诉举报的或相关部门提供处罚的文书等，经查实情况，视不同情节严重程度</w:t>
            </w:r>
            <w:r>
              <w:rPr>
                <w:rFonts w:hint="eastAsia" w:ascii="仿宋" w:hAnsi="仿宋" w:eastAsia="仿宋"/>
                <w:color w:val="000000" w:themeColor="text1"/>
                <w:sz w:val="24"/>
                <w:szCs w:val="24"/>
                <w:lang w:val="en-US" w:eastAsia="zh-CN"/>
              </w:rPr>
              <w:t>给予</w:t>
            </w:r>
            <w:r>
              <w:rPr>
                <w:rFonts w:hint="eastAsia" w:ascii="仿宋" w:hAnsi="仿宋" w:eastAsia="仿宋"/>
                <w:color w:val="000000" w:themeColor="text1"/>
                <w:sz w:val="24"/>
                <w:szCs w:val="24"/>
              </w:rPr>
              <w:t>扣分。</w:t>
            </w:r>
          </w:p>
        </w:tc>
        <w:tc>
          <w:tcPr>
            <w:tcW w:w="1256" w:type="dxa"/>
            <w:tcBorders>
              <w:top w:val="single" w:color="auto" w:sz="4" w:space="0"/>
              <w:left w:val="nil"/>
              <w:bottom w:val="single" w:color="auto" w:sz="4" w:space="0"/>
              <w:right w:val="single" w:color="auto" w:sz="4" w:space="0"/>
            </w:tcBorders>
            <w:vAlign w:val="center"/>
          </w:tcPr>
          <w:p>
            <w:pPr>
              <w:spacing w:line="578" w:lineRule="exact"/>
              <w:jc w:val="center"/>
              <w:rPr>
                <w:rFonts w:ascii="仿宋" w:hAnsi="仿宋" w:eastAsia="仿宋"/>
                <w:sz w:val="24"/>
                <w:szCs w:val="24"/>
              </w:rPr>
            </w:pPr>
          </w:p>
        </w:tc>
      </w:tr>
    </w:tbl>
    <w:p>
      <w:pPr>
        <w:spacing w:line="578" w:lineRule="exact"/>
      </w:pPr>
    </w:p>
    <w:p>
      <w:pPr>
        <w:spacing w:line="578" w:lineRule="exact"/>
      </w:pPr>
    </w:p>
    <w:p>
      <w:pPr>
        <w:spacing w:line="578" w:lineRule="exact"/>
        <w:rPr>
          <w:b/>
          <w:bCs/>
        </w:rPr>
        <w:sectPr>
          <w:pgSz w:w="16838" w:h="11906" w:orient="landscape"/>
          <w:pgMar w:top="1797" w:right="1440" w:bottom="1797" w:left="1440" w:header="851" w:footer="992" w:gutter="0"/>
          <w:pgNumType w:fmt="numberInDash"/>
          <w:cols w:space="425" w:num="1"/>
          <w:titlePg/>
          <w:docGrid w:type="lines" w:linePitch="312" w:charSpace="0"/>
        </w:sectPr>
      </w:pPr>
    </w:p>
    <w:p>
      <w:pPr>
        <w:spacing w:line="578" w:lineRule="exact"/>
        <w:rPr>
          <w:rFonts w:ascii="黑体" w:hAnsi="黑体" w:eastAsia="黑体" w:cs="楷体"/>
          <w:bCs/>
          <w:sz w:val="32"/>
          <w:szCs w:val="32"/>
        </w:rPr>
      </w:pPr>
      <w:r>
        <w:rPr>
          <w:rFonts w:hint="eastAsia" w:ascii="黑体" w:hAnsi="黑体" w:eastAsia="黑体" w:cs="楷体"/>
          <w:bCs/>
          <w:sz w:val="32"/>
          <w:szCs w:val="32"/>
        </w:rPr>
        <w:t>附件</w:t>
      </w:r>
      <w:r>
        <w:rPr>
          <w:rFonts w:ascii="黑体" w:hAnsi="黑体" w:eastAsia="黑体" w:cs="楷体"/>
          <w:bCs/>
          <w:sz w:val="32"/>
          <w:szCs w:val="32"/>
        </w:rPr>
        <w:t>2</w:t>
      </w:r>
    </w:p>
    <w:p>
      <w:pPr>
        <w:spacing w:line="578" w:lineRule="exact"/>
        <w:jc w:val="center"/>
        <w:rPr>
          <w:rFonts w:ascii="黑体" w:hAnsi="黑体" w:eastAsia="黑体" w:cs="黑体"/>
          <w:bCs/>
          <w:sz w:val="44"/>
          <w:szCs w:val="44"/>
        </w:rPr>
      </w:pPr>
    </w:p>
    <w:p>
      <w:pPr>
        <w:spacing w:line="578" w:lineRule="exact"/>
        <w:jc w:val="center"/>
        <w:rPr>
          <w:rFonts w:asciiTheme="minorEastAsia" w:hAnsiTheme="minorEastAsia"/>
          <w:b/>
          <w:sz w:val="32"/>
          <w:szCs w:val="32"/>
        </w:rPr>
      </w:pPr>
      <w:r>
        <w:rPr>
          <w:rFonts w:hint="eastAsia" w:ascii="黑体" w:hAnsi="黑体" w:eastAsia="黑体" w:cs="黑体"/>
          <w:bCs/>
          <w:sz w:val="44"/>
          <w:szCs w:val="44"/>
        </w:rPr>
        <w:t>苏州市公共资源交易中心吴江分中心招标（采购）代理机构进场交易行为考评细则</w:t>
      </w:r>
    </w:p>
    <w:tbl>
      <w:tblPr>
        <w:tblStyle w:val="8"/>
        <w:tblW w:w="918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82"/>
        <w:gridCol w:w="1356"/>
        <w:gridCol w:w="750"/>
        <w:gridCol w:w="5058"/>
        <w:gridCol w:w="113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60" w:hRule="atLeast"/>
          <w:jc w:val="center"/>
        </w:trPr>
        <w:tc>
          <w:tcPr>
            <w:tcW w:w="882" w:type="dxa"/>
            <w:vAlign w:val="center"/>
          </w:tcPr>
          <w:p>
            <w:pPr>
              <w:spacing w:line="578" w:lineRule="exact"/>
              <w:jc w:val="center"/>
              <w:rPr>
                <w:rFonts w:ascii="黑体" w:hAnsi="黑体" w:eastAsia="黑体" w:cs="宋体"/>
                <w:sz w:val="24"/>
                <w:szCs w:val="24"/>
              </w:rPr>
            </w:pPr>
            <w:r>
              <w:rPr>
                <w:rFonts w:hint="eastAsia" w:ascii="黑体" w:hAnsi="黑体" w:eastAsia="黑体" w:cs="宋体"/>
                <w:sz w:val="24"/>
                <w:szCs w:val="24"/>
              </w:rPr>
              <w:t>评分</w:t>
            </w:r>
          </w:p>
          <w:p>
            <w:pPr>
              <w:spacing w:line="578" w:lineRule="exact"/>
              <w:jc w:val="center"/>
              <w:rPr>
                <w:rFonts w:ascii="黑体" w:hAnsi="黑体" w:eastAsia="黑体" w:cs="宋体"/>
                <w:sz w:val="24"/>
                <w:szCs w:val="24"/>
              </w:rPr>
            </w:pPr>
            <w:r>
              <w:rPr>
                <w:rFonts w:hint="eastAsia" w:ascii="黑体" w:hAnsi="黑体" w:eastAsia="黑体" w:cs="宋体"/>
                <w:sz w:val="24"/>
                <w:szCs w:val="24"/>
              </w:rPr>
              <w:t>类别</w:t>
            </w:r>
          </w:p>
        </w:tc>
        <w:tc>
          <w:tcPr>
            <w:tcW w:w="1356" w:type="dxa"/>
            <w:vAlign w:val="center"/>
          </w:tcPr>
          <w:p>
            <w:pPr>
              <w:spacing w:line="578" w:lineRule="exact"/>
              <w:jc w:val="center"/>
              <w:rPr>
                <w:rFonts w:ascii="黑体" w:hAnsi="黑体" w:eastAsia="黑体" w:cs="宋体"/>
                <w:sz w:val="24"/>
                <w:szCs w:val="24"/>
              </w:rPr>
            </w:pPr>
            <w:r>
              <w:rPr>
                <w:rFonts w:hint="eastAsia" w:ascii="黑体" w:hAnsi="黑体" w:eastAsia="黑体" w:cs="宋体"/>
                <w:sz w:val="24"/>
                <w:szCs w:val="24"/>
              </w:rPr>
              <w:t>招投标（采购）环节</w:t>
            </w:r>
          </w:p>
        </w:tc>
        <w:tc>
          <w:tcPr>
            <w:tcW w:w="750" w:type="dxa"/>
            <w:vAlign w:val="center"/>
          </w:tcPr>
          <w:p>
            <w:pPr>
              <w:spacing w:line="578" w:lineRule="exact"/>
              <w:jc w:val="center"/>
              <w:rPr>
                <w:rFonts w:ascii="黑体" w:hAnsi="黑体" w:eastAsia="黑体" w:cs="宋体"/>
                <w:sz w:val="24"/>
                <w:szCs w:val="24"/>
              </w:rPr>
            </w:pPr>
            <w:r>
              <w:rPr>
                <w:rFonts w:hint="eastAsia" w:ascii="黑体" w:hAnsi="黑体" w:eastAsia="黑体" w:cs="宋体"/>
                <w:sz w:val="24"/>
                <w:szCs w:val="24"/>
              </w:rPr>
              <w:t>序号</w:t>
            </w:r>
          </w:p>
        </w:tc>
        <w:tc>
          <w:tcPr>
            <w:tcW w:w="5058" w:type="dxa"/>
            <w:vAlign w:val="center"/>
          </w:tcPr>
          <w:p>
            <w:pPr>
              <w:spacing w:line="578" w:lineRule="exact"/>
              <w:jc w:val="center"/>
              <w:rPr>
                <w:rFonts w:ascii="黑体" w:hAnsi="黑体" w:eastAsia="黑体" w:cs="宋体"/>
                <w:sz w:val="24"/>
                <w:szCs w:val="24"/>
              </w:rPr>
            </w:pPr>
            <w:r>
              <w:rPr>
                <w:rFonts w:hint="eastAsia" w:ascii="黑体" w:hAnsi="黑体" w:eastAsia="黑体" w:cs="宋体"/>
                <w:sz w:val="24"/>
                <w:szCs w:val="24"/>
              </w:rPr>
              <w:t>考核标准</w:t>
            </w:r>
          </w:p>
        </w:tc>
        <w:tc>
          <w:tcPr>
            <w:tcW w:w="1134" w:type="dxa"/>
            <w:vAlign w:val="center"/>
          </w:tcPr>
          <w:p>
            <w:pPr>
              <w:spacing w:line="578" w:lineRule="exact"/>
              <w:jc w:val="center"/>
              <w:rPr>
                <w:rFonts w:ascii="黑体" w:hAnsi="黑体" w:eastAsia="黑体" w:cs="宋体"/>
                <w:sz w:val="24"/>
                <w:szCs w:val="24"/>
              </w:rPr>
            </w:pPr>
            <w:r>
              <w:rPr>
                <w:rFonts w:hint="eastAsia" w:ascii="黑体" w:hAnsi="黑体" w:eastAsia="黑体" w:cs="宋体"/>
                <w:sz w:val="24"/>
                <w:szCs w:val="24"/>
              </w:rPr>
              <w:t>扣分值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restart"/>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不规范行为</w:t>
            </w:r>
          </w:p>
        </w:tc>
        <w:tc>
          <w:tcPr>
            <w:tcW w:w="1356" w:type="dxa"/>
            <w:vMerge w:val="restart"/>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标前</w:t>
            </w: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1</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发布招标或采购相关公告信息内容存在错误或信息不全的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Pr>
          <w:p>
            <w:pPr>
              <w:spacing w:line="578" w:lineRule="exact"/>
              <w:jc w:val="center"/>
              <w:rPr>
                <w:rFonts w:ascii="仿宋" w:hAnsi="仿宋" w:eastAsia="仿宋" w:cs="宋体"/>
                <w:sz w:val="24"/>
                <w:szCs w:val="24"/>
              </w:rPr>
            </w:pPr>
          </w:p>
        </w:tc>
        <w:tc>
          <w:tcPr>
            <w:tcW w:w="1356" w:type="dxa"/>
            <w:vMerge w:val="continue"/>
            <w:vAlign w:val="center"/>
          </w:tcPr>
          <w:p>
            <w:pPr>
              <w:spacing w:line="578" w:lineRule="exact"/>
              <w:jc w:val="center"/>
              <w:rPr>
                <w:rFonts w:ascii="仿宋" w:hAnsi="仿宋" w:eastAsia="仿宋" w:cs="宋体"/>
                <w:sz w:val="24"/>
                <w:szCs w:val="24"/>
              </w:rPr>
            </w:pP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因采购代理机构未在规定时限内提交专家抽取申请或申请内容有误的，导致评标专家抽取出错，影响采购项目正常评审（政府采购项目）</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34" w:hRule="atLeast"/>
          <w:jc w:val="center"/>
        </w:trPr>
        <w:tc>
          <w:tcPr>
            <w:tcW w:w="882" w:type="dxa"/>
            <w:vMerge w:val="continue"/>
          </w:tcPr>
          <w:p>
            <w:pPr>
              <w:spacing w:line="578" w:lineRule="exact"/>
              <w:jc w:val="center"/>
              <w:rPr>
                <w:rFonts w:ascii="仿宋" w:hAnsi="仿宋" w:eastAsia="仿宋" w:cs="宋体"/>
                <w:sz w:val="24"/>
                <w:szCs w:val="24"/>
              </w:rPr>
            </w:pPr>
          </w:p>
        </w:tc>
        <w:tc>
          <w:tcPr>
            <w:tcW w:w="1356" w:type="dxa"/>
            <w:vMerge w:val="continue"/>
            <w:vAlign w:val="center"/>
          </w:tcPr>
          <w:p>
            <w:pPr>
              <w:spacing w:line="578" w:lineRule="exact"/>
              <w:jc w:val="center"/>
              <w:rPr>
                <w:rFonts w:ascii="仿宋" w:hAnsi="仿宋" w:eastAsia="仿宋" w:cs="宋体"/>
                <w:sz w:val="24"/>
                <w:szCs w:val="24"/>
              </w:rPr>
            </w:pP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开标前未在交易系统中上传项目组进场工作人员名单或擅自申报非本单位人员组织开评标的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1" w:hRule="atLeast"/>
          <w:jc w:val="center"/>
        </w:trPr>
        <w:tc>
          <w:tcPr>
            <w:tcW w:w="882" w:type="dxa"/>
            <w:vMerge w:val="continue"/>
          </w:tcPr>
          <w:p>
            <w:pPr>
              <w:spacing w:line="578" w:lineRule="exact"/>
              <w:jc w:val="center"/>
              <w:rPr>
                <w:rFonts w:ascii="仿宋" w:hAnsi="仿宋" w:eastAsia="仿宋" w:cs="宋体"/>
                <w:sz w:val="24"/>
                <w:szCs w:val="24"/>
              </w:rPr>
            </w:pPr>
          </w:p>
        </w:tc>
        <w:tc>
          <w:tcPr>
            <w:tcW w:w="1356" w:type="dxa"/>
            <w:vMerge w:val="restart"/>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开评标</w:t>
            </w:r>
          </w:p>
          <w:p>
            <w:pPr>
              <w:spacing w:line="578" w:lineRule="exact"/>
              <w:jc w:val="center"/>
              <w:rPr>
                <w:rFonts w:ascii="仿宋" w:hAnsi="仿宋" w:eastAsia="仿宋" w:cs="宋体"/>
                <w:sz w:val="24"/>
                <w:szCs w:val="24"/>
              </w:rPr>
            </w:pPr>
            <w:r>
              <w:rPr>
                <w:rFonts w:hint="eastAsia" w:ascii="仿宋" w:hAnsi="仿宋" w:eastAsia="仿宋" w:cs="宋体"/>
                <w:sz w:val="24"/>
                <w:szCs w:val="24"/>
              </w:rPr>
              <w:t>环节</w:t>
            </w: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4</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开标当日项目组工作人员未按规定提前半小时到达开标现场，或在开标前未完成开标准备工作，影响开标正常进行的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top w:val="single" w:color="auto" w:sz="4" w:space="0"/>
            </w:tcBorders>
          </w:tcPr>
          <w:p>
            <w:pPr>
              <w:spacing w:line="578" w:lineRule="exact"/>
              <w:jc w:val="center"/>
              <w:rPr>
                <w:rFonts w:ascii="仿宋" w:hAnsi="仿宋" w:eastAsia="仿宋" w:cs="宋体"/>
                <w:sz w:val="24"/>
                <w:szCs w:val="24"/>
              </w:rPr>
            </w:pPr>
          </w:p>
        </w:tc>
        <w:tc>
          <w:tcPr>
            <w:tcW w:w="1356" w:type="dxa"/>
            <w:vMerge w:val="continue"/>
            <w:tcBorders>
              <w:top w:val="single" w:color="auto" w:sz="4" w:space="0"/>
            </w:tcBorders>
            <w:vAlign w:val="center"/>
          </w:tcPr>
          <w:p>
            <w:pPr>
              <w:spacing w:line="578" w:lineRule="exact"/>
              <w:jc w:val="center"/>
              <w:rPr>
                <w:rFonts w:ascii="仿宋" w:hAnsi="仿宋" w:eastAsia="仿宋" w:cs="宋体"/>
                <w:sz w:val="24"/>
                <w:szCs w:val="24"/>
              </w:rPr>
            </w:pPr>
          </w:p>
        </w:tc>
        <w:tc>
          <w:tcPr>
            <w:tcW w:w="750" w:type="dxa"/>
            <w:tcBorders>
              <w:top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5</w:t>
            </w:r>
          </w:p>
        </w:tc>
        <w:tc>
          <w:tcPr>
            <w:tcW w:w="5058" w:type="dxa"/>
            <w:tcBorders>
              <w:top w:val="single" w:color="auto" w:sz="4" w:space="0"/>
              <w:bottom w:val="single" w:color="auto" w:sz="4" w:space="0"/>
            </w:tcBorders>
          </w:tcPr>
          <w:p>
            <w:pPr>
              <w:spacing w:line="578" w:lineRule="exact"/>
              <w:jc w:val="left"/>
              <w:rPr>
                <w:rFonts w:ascii="仿宋" w:hAnsi="仿宋" w:eastAsia="仿宋" w:cs="宋体"/>
                <w:sz w:val="24"/>
                <w:szCs w:val="24"/>
              </w:rPr>
            </w:pPr>
            <w:r>
              <w:rPr>
                <w:rFonts w:hint="eastAsia" w:ascii="仿宋" w:hAnsi="仿宋" w:eastAsia="仿宋" w:cs="宋体"/>
                <w:sz w:val="24"/>
                <w:szCs w:val="24"/>
              </w:rPr>
              <w:t>开评标专职人员与委托代理合同中的专职人员不一致的（工程建设项目）</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35" w:hRule="atLeast"/>
          <w:jc w:val="center"/>
        </w:trPr>
        <w:tc>
          <w:tcPr>
            <w:tcW w:w="882" w:type="dxa"/>
            <w:vMerge w:val="restart"/>
            <w:tcBorders>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不规范行为</w:t>
            </w:r>
          </w:p>
        </w:tc>
        <w:tc>
          <w:tcPr>
            <w:tcW w:w="1356" w:type="dxa"/>
            <w:vMerge w:val="restart"/>
            <w:tcBorders>
              <w:lef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开评标</w:t>
            </w:r>
          </w:p>
          <w:p>
            <w:pPr>
              <w:spacing w:line="578" w:lineRule="exact"/>
              <w:jc w:val="center"/>
              <w:rPr>
                <w:rFonts w:ascii="仿宋" w:hAnsi="仿宋" w:eastAsia="仿宋" w:cs="宋体"/>
                <w:sz w:val="24"/>
                <w:szCs w:val="24"/>
              </w:rPr>
            </w:pPr>
            <w:r>
              <w:rPr>
                <w:rFonts w:hint="eastAsia" w:ascii="仿宋" w:hAnsi="仿宋" w:eastAsia="仿宋" w:cs="宋体"/>
                <w:sz w:val="24"/>
                <w:szCs w:val="24"/>
              </w:rPr>
              <w:t>环节</w:t>
            </w:r>
          </w:p>
        </w:tc>
        <w:tc>
          <w:tcPr>
            <w:tcW w:w="750" w:type="dxa"/>
            <w:tcBorders>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6</w:t>
            </w:r>
          </w:p>
        </w:tc>
        <w:tc>
          <w:tcPr>
            <w:tcW w:w="5058" w:type="dxa"/>
            <w:tcBorders>
              <w:left w:val="single" w:color="auto" w:sz="4" w:space="0"/>
            </w:tcBorders>
          </w:tcPr>
          <w:p>
            <w:pPr>
              <w:spacing w:line="578" w:lineRule="exact"/>
              <w:jc w:val="left"/>
              <w:rPr>
                <w:rFonts w:ascii="仿宋" w:hAnsi="仿宋" w:eastAsia="仿宋" w:cs="宋体"/>
                <w:sz w:val="24"/>
                <w:szCs w:val="24"/>
              </w:rPr>
            </w:pPr>
            <w:r>
              <w:rPr>
                <w:rFonts w:hint="eastAsia" w:ascii="仿宋" w:hAnsi="仿宋" w:eastAsia="仿宋" w:cs="宋体"/>
                <w:sz w:val="24"/>
                <w:szCs w:val="24"/>
              </w:rPr>
              <w:t>项目组工作人员在组织开评标过程中未按规定穿着标识马甲及佩戴工作证的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09" w:hRule="atLeast"/>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vMerge w:val="continue"/>
            <w:tcBorders>
              <w:left w:val="single" w:color="auto" w:sz="4" w:space="0"/>
            </w:tcBorders>
          </w:tcPr>
          <w:p>
            <w:pPr>
              <w:spacing w:line="578" w:lineRule="exact"/>
              <w:jc w:val="center"/>
              <w:rPr>
                <w:rFonts w:ascii="仿宋" w:hAnsi="仿宋" w:eastAsia="仿宋" w:cs="宋体"/>
                <w:sz w:val="24"/>
                <w:szCs w:val="24"/>
              </w:rPr>
            </w:pPr>
          </w:p>
        </w:tc>
        <w:tc>
          <w:tcPr>
            <w:tcW w:w="750" w:type="dxa"/>
            <w:tcBorders>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7</w:t>
            </w:r>
          </w:p>
        </w:tc>
        <w:tc>
          <w:tcPr>
            <w:tcW w:w="5058" w:type="dxa"/>
            <w:tcBorders>
              <w:left w:val="single" w:color="auto" w:sz="4" w:space="0"/>
            </w:tcBorders>
          </w:tcPr>
          <w:p>
            <w:pPr>
              <w:spacing w:line="578" w:lineRule="exact"/>
              <w:jc w:val="left"/>
              <w:rPr>
                <w:rFonts w:ascii="仿宋" w:hAnsi="仿宋" w:eastAsia="仿宋" w:cs="宋体"/>
                <w:sz w:val="24"/>
                <w:szCs w:val="24"/>
              </w:rPr>
            </w:pPr>
            <w:r>
              <w:rPr>
                <w:rFonts w:hint="eastAsia" w:ascii="仿宋" w:hAnsi="仿宋" w:eastAsia="仿宋" w:cs="宋体"/>
                <w:sz w:val="24"/>
                <w:szCs w:val="24"/>
              </w:rPr>
              <w:t>由于项目组工作人员对于交易系统操作错误，影响开评标活动正常进行的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vMerge w:val="continue"/>
            <w:tcBorders>
              <w:left w:val="single" w:color="auto" w:sz="4" w:space="0"/>
            </w:tcBorders>
          </w:tcPr>
          <w:p>
            <w:pPr>
              <w:spacing w:line="578" w:lineRule="exact"/>
              <w:jc w:val="center"/>
              <w:rPr>
                <w:rFonts w:ascii="仿宋" w:hAnsi="仿宋" w:eastAsia="仿宋" w:cs="宋体"/>
                <w:sz w:val="24"/>
                <w:szCs w:val="24"/>
              </w:rPr>
            </w:pPr>
          </w:p>
        </w:tc>
        <w:tc>
          <w:tcPr>
            <w:tcW w:w="750" w:type="dxa"/>
            <w:tcBorders>
              <w:righ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8</w:t>
            </w:r>
          </w:p>
        </w:tc>
        <w:tc>
          <w:tcPr>
            <w:tcW w:w="5058" w:type="dxa"/>
            <w:tcBorders>
              <w:left w:val="single" w:color="auto" w:sz="4" w:space="0"/>
            </w:tcBorders>
          </w:tcPr>
          <w:p>
            <w:pPr>
              <w:spacing w:line="578" w:lineRule="exact"/>
              <w:jc w:val="left"/>
              <w:rPr>
                <w:rFonts w:ascii="仿宋" w:hAnsi="仿宋" w:eastAsia="仿宋" w:cs="宋体"/>
                <w:sz w:val="24"/>
                <w:szCs w:val="24"/>
              </w:rPr>
            </w:pPr>
            <w:r>
              <w:rPr>
                <w:rFonts w:hint="eastAsia" w:ascii="仿宋" w:hAnsi="仿宋" w:eastAsia="仿宋" w:cs="宋体"/>
                <w:sz w:val="24"/>
                <w:szCs w:val="24"/>
              </w:rPr>
              <w:t>对于投标人和供应商在开评标环节提出的询问或异议未能及时处理，影响开评标活动正常进行的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vMerge w:val="continue"/>
            <w:tcBorders>
              <w:left w:val="single" w:color="auto" w:sz="4" w:space="0"/>
            </w:tcBorders>
            <w:vAlign w:val="center"/>
          </w:tcPr>
          <w:p>
            <w:pPr>
              <w:spacing w:line="578" w:lineRule="exact"/>
              <w:jc w:val="center"/>
              <w:rPr>
                <w:rFonts w:ascii="仿宋" w:hAnsi="仿宋" w:eastAsia="仿宋" w:cs="宋体"/>
                <w:sz w:val="24"/>
                <w:szCs w:val="24"/>
              </w:rPr>
            </w:pP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9</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 xml:space="preserve">组织评审过程中，发表具有倾向性的言论，不当干预评标委员会评标活动，影响评标专家独立评审的 </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vMerge w:val="continue"/>
            <w:tcBorders>
              <w:left w:val="single" w:color="auto" w:sz="4" w:space="0"/>
            </w:tcBorders>
            <w:vAlign w:val="center"/>
          </w:tcPr>
          <w:p>
            <w:pPr>
              <w:spacing w:line="578" w:lineRule="exact"/>
              <w:jc w:val="center"/>
              <w:rPr>
                <w:rFonts w:ascii="仿宋" w:hAnsi="仿宋" w:eastAsia="仿宋" w:cs="宋体"/>
                <w:sz w:val="24"/>
                <w:szCs w:val="24"/>
              </w:rPr>
            </w:pP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10</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评审过程中，将评审资料擅自带离评标区，或向外界泄露评标信息的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vMerge w:val="continue"/>
            <w:tcBorders>
              <w:left w:val="single" w:color="auto" w:sz="4" w:space="0"/>
            </w:tcBorders>
            <w:vAlign w:val="center"/>
          </w:tcPr>
          <w:p>
            <w:pPr>
              <w:spacing w:line="578" w:lineRule="exact"/>
              <w:jc w:val="center"/>
              <w:rPr>
                <w:rFonts w:ascii="仿宋" w:hAnsi="仿宋" w:eastAsia="仿宋" w:cs="宋体"/>
                <w:sz w:val="24"/>
                <w:szCs w:val="24"/>
              </w:rPr>
            </w:pP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11</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对开评标现场疏于管理，对抽烟、高声喧哗等不文明行为不予制止，不爱护交易中心公共设施造成损坏且拒不赔偿的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tcBorders>
              <w:lef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标后</w:t>
            </w: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12</w:t>
            </w:r>
          </w:p>
        </w:tc>
        <w:tc>
          <w:tcPr>
            <w:tcW w:w="5058" w:type="dxa"/>
          </w:tcPr>
          <w:p>
            <w:pPr>
              <w:spacing w:line="578" w:lineRule="exact"/>
              <w:jc w:val="left"/>
              <w:rPr>
                <w:rFonts w:ascii="仿宋" w:hAnsi="仿宋" w:eastAsia="仿宋" w:cs="宋体"/>
                <w:sz w:val="24"/>
                <w:szCs w:val="24"/>
              </w:rPr>
            </w:pPr>
            <w:r>
              <w:rPr>
                <w:rFonts w:hint="eastAsia" w:ascii="仿宋" w:hAnsi="仿宋" w:eastAsia="仿宋" w:cs="宋体"/>
                <w:sz w:val="24"/>
                <w:szCs w:val="24"/>
              </w:rPr>
              <w:t>未按照规定发布中标公告的，或发布中标公告内容不完整、不准确的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2</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94" w:hRule="atLeast"/>
          <w:jc w:val="center"/>
        </w:trPr>
        <w:tc>
          <w:tcPr>
            <w:tcW w:w="882" w:type="dxa"/>
            <w:vMerge w:val="continue"/>
            <w:tcBorders>
              <w:right w:val="single" w:color="auto" w:sz="4" w:space="0"/>
            </w:tcBorders>
          </w:tcPr>
          <w:p>
            <w:pPr>
              <w:spacing w:line="578" w:lineRule="exact"/>
              <w:jc w:val="center"/>
              <w:rPr>
                <w:rFonts w:ascii="仿宋" w:hAnsi="仿宋" w:eastAsia="仿宋" w:cs="宋体"/>
                <w:sz w:val="24"/>
                <w:szCs w:val="24"/>
              </w:rPr>
            </w:pPr>
          </w:p>
        </w:tc>
        <w:tc>
          <w:tcPr>
            <w:tcW w:w="1356" w:type="dxa"/>
            <w:tcBorders>
              <w:left w:val="single" w:color="auto" w:sz="4" w:space="0"/>
            </w:tcBorders>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所有</w:t>
            </w:r>
          </w:p>
          <w:p>
            <w:pPr>
              <w:spacing w:line="578" w:lineRule="exact"/>
              <w:jc w:val="center"/>
              <w:rPr>
                <w:rFonts w:ascii="仿宋" w:hAnsi="仿宋" w:eastAsia="仿宋" w:cs="宋体"/>
                <w:sz w:val="24"/>
                <w:szCs w:val="24"/>
              </w:rPr>
            </w:pPr>
            <w:r>
              <w:rPr>
                <w:rFonts w:hint="eastAsia" w:ascii="仿宋" w:hAnsi="仿宋" w:eastAsia="仿宋" w:cs="宋体"/>
                <w:sz w:val="24"/>
                <w:szCs w:val="24"/>
              </w:rPr>
              <w:t>阶段</w:t>
            </w:r>
          </w:p>
        </w:tc>
        <w:tc>
          <w:tcPr>
            <w:tcW w:w="750"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13</w:t>
            </w:r>
          </w:p>
        </w:tc>
        <w:tc>
          <w:tcPr>
            <w:tcW w:w="5058" w:type="dxa"/>
            <w:vAlign w:val="center"/>
          </w:tcPr>
          <w:p>
            <w:pPr>
              <w:spacing w:line="578" w:lineRule="exact"/>
              <w:jc w:val="left"/>
              <w:rPr>
                <w:rFonts w:ascii="仿宋" w:hAnsi="仿宋" w:eastAsia="仿宋" w:cs="宋体"/>
                <w:sz w:val="24"/>
                <w:szCs w:val="24"/>
              </w:rPr>
            </w:pPr>
            <w:r>
              <w:rPr>
                <w:rFonts w:hint="eastAsia" w:ascii="仿宋" w:hAnsi="仿宋" w:eastAsia="仿宋" w:cs="宋体"/>
                <w:sz w:val="24"/>
                <w:szCs w:val="24"/>
              </w:rPr>
              <w:t>违反交易中心管理规定，拒不改正的</w:t>
            </w:r>
          </w:p>
        </w:tc>
        <w:tc>
          <w:tcPr>
            <w:tcW w:w="1134" w:type="dxa"/>
            <w:vAlign w:val="center"/>
          </w:tcPr>
          <w:p>
            <w:pPr>
              <w:spacing w:line="578" w:lineRule="exact"/>
              <w:jc w:val="center"/>
              <w:rPr>
                <w:rFonts w:ascii="仿宋" w:hAnsi="仿宋" w:eastAsia="仿宋" w:cs="宋体"/>
                <w:sz w:val="24"/>
                <w:szCs w:val="24"/>
              </w:rPr>
            </w:pPr>
            <w:r>
              <w:rPr>
                <w:rFonts w:hint="eastAsia" w:ascii="仿宋" w:hAnsi="仿宋" w:eastAsia="仿宋" w:cs="宋体"/>
                <w:sz w:val="24"/>
                <w:szCs w:val="24"/>
              </w:rPr>
              <w:t>3</w:t>
            </w:r>
          </w:p>
        </w:tc>
      </w:tr>
    </w:tbl>
    <w:p>
      <w:pPr>
        <w:spacing w:line="578" w:lineRule="exact"/>
      </w:pPr>
      <w:r>
        <w:rPr>
          <w:rFonts w:hint="eastAsia" w:ascii="仿宋" w:hAnsi="仿宋" w:eastAsia="仿宋" w:cs="仿宋"/>
          <w:bCs/>
          <w:sz w:val="28"/>
          <w:szCs w:val="28"/>
        </w:rPr>
        <w:t>注：交易中心将对招标（采购）代理机构的不规范行为进行累计扣分，每出现1次不规范行为将扣除对应的分值，累计扣满20分为止。</w:t>
      </w:r>
    </w:p>
    <w:sectPr>
      <w:pgSz w:w="11906" w:h="16838"/>
      <w:pgMar w:top="1440" w:right="1797" w:bottom="1440" w:left="1797"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40640366"/>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8870113"/>
      <w:docPartObj>
        <w:docPartGallery w:val="AutoText"/>
      </w:docPartObj>
    </w:sdtPr>
    <w:sdtEndPr>
      <w:rPr>
        <w:rFonts w:asciiTheme="minorEastAsia" w:hAnsiTheme="minorEastAsia"/>
        <w:sz w:val="28"/>
        <w:szCs w:val="28"/>
      </w:rPr>
    </w:sdtEndPr>
    <w:sdtContent>
      <w:p>
        <w:pPr>
          <w:pStyle w:val="4"/>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4687843"/>
      <w:docPartObj>
        <w:docPartGallery w:val="AutoText"/>
      </w:docPartObj>
    </w:sdtPr>
    <w:sdtEndPr>
      <w:rPr>
        <w:rFonts w:asciiTheme="minorEastAsia" w:hAnsiTheme="minorEastAsia"/>
        <w:sz w:val="28"/>
        <w:szCs w:val="28"/>
      </w:rPr>
    </w:sdtEndPr>
    <w:sdtContent>
      <w:p>
        <w:pPr>
          <w:pStyle w:val="4"/>
          <w:jc w:val="right"/>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PAGE   \* MERGEFORMAT</w:instrText>
        </w:r>
        <w:r>
          <w:rPr>
            <w:rFonts w:asciiTheme="minorEastAsia" w:hAnsiTheme="minorEastAsia"/>
            <w:sz w:val="28"/>
            <w:szCs w:val="28"/>
          </w:rPr>
          <w:fldChar w:fldCharType="separate"/>
        </w:r>
        <w:r>
          <w:rPr>
            <w:rFonts w:asciiTheme="minorEastAsia" w:hAnsiTheme="minorEastAsia"/>
            <w:sz w:val="28"/>
            <w:szCs w:val="28"/>
            <w:lang w:val="zh-CN"/>
          </w:rPr>
          <w:t>2</w:t>
        </w:r>
        <w:r>
          <w:rPr>
            <w:rFonts w:asciiTheme="minorEastAsia" w:hAnsiTheme="minorEastAsia"/>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2"/>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172A27"/>
    <w:rsid w:val="000010CE"/>
    <w:rsid w:val="00035DD6"/>
    <w:rsid w:val="00037768"/>
    <w:rsid w:val="00041A4E"/>
    <w:rsid w:val="0004559C"/>
    <w:rsid w:val="00060342"/>
    <w:rsid w:val="0006517B"/>
    <w:rsid w:val="00084697"/>
    <w:rsid w:val="000C6E97"/>
    <w:rsid w:val="000F4038"/>
    <w:rsid w:val="00132827"/>
    <w:rsid w:val="001468D3"/>
    <w:rsid w:val="00172A27"/>
    <w:rsid w:val="001747B1"/>
    <w:rsid w:val="00182D52"/>
    <w:rsid w:val="001B4D97"/>
    <w:rsid w:val="001E534C"/>
    <w:rsid w:val="00220299"/>
    <w:rsid w:val="00245F26"/>
    <w:rsid w:val="00296C36"/>
    <w:rsid w:val="002D4D3A"/>
    <w:rsid w:val="002D683E"/>
    <w:rsid w:val="002F7620"/>
    <w:rsid w:val="003023EE"/>
    <w:rsid w:val="00313CB6"/>
    <w:rsid w:val="00313D74"/>
    <w:rsid w:val="00335355"/>
    <w:rsid w:val="00371743"/>
    <w:rsid w:val="003C2D4B"/>
    <w:rsid w:val="003D332D"/>
    <w:rsid w:val="003D3FC5"/>
    <w:rsid w:val="003D6A79"/>
    <w:rsid w:val="0040560C"/>
    <w:rsid w:val="004148E8"/>
    <w:rsid w:val="00430CC1"/>
    <w:rsid w:val="00431F49"/>
    <w:rsid w:val="004D3971"/>
    <w:rsid w:val="004E489F"/>
    <w:rsid w:val="005013AA"/>
    <w:rsid w:val="005212F6"/>
    <w:rsid w:val="00527AB9"/>
    <w:rsid w:val="0053330A"/>
    <w:rsid w:val="005360FC"/>
    <w:rsid w:val="00542FC1"/>
    <w:rsid w:val="005608B0"/>
    <w:rsid w:val="00561F79"/>
    <w:rsid w:val="0056389E"/>
    <w:rsid w:val="005A242F"/>
    <w:rsid w:val="005B5CF2"/>
    <w:rsid w:val="005D544C"/>
    <w:rsid w:val="005E59EF"/>
    <w:rsid w:val="005E5AB1"/>
    <w:rsid w:val="00614C0F"/>
    <w:rsid w:val="00615EA1"/>
    <w:rsid w:val="00625399"/>
    <w:rsid w:val="00662409"/>
    <w:rsid w:val="00663168"/>
    <w:rsid w:val="006A74FF"/>
    <w:rsid w:val="006E44B8"/>
    <w:rsid w:val="006F4B75"/>
    <w:rsid w:val="0070254B"/>
    <w:rsid w:val="007804F6"/>
    <w:rsid w:val="00787715"/>
    <w:rsid w:val="007B2586"/>
    <w:rsid w:val="007B7E77"/>
    <w:rsid w:val="00806B97"/>
    <w:rsid w:val="00863F4A"/>
    <w:rsid w:val="0087004F"/>
    <w:rsid w:val="00880BFC"/>
    <w:rsid w:val="00882CF3"/>
    <w:rsid w:val="0089705D"/>
    <w:rsid w:val="008C1CCD"/>
    <w:rsid w:val="008C2453"/>
    <w:rsid w:val="008C5A43"/>
    <w:rsid w:val="008C6BF4"/>
    <w:rsid w:val="008D313A"/>
    <w:rsid w:val="008D4258"/>
    <w:rsid w:val="008E1AA1"/>
    <w:rsid w:val="008E3EF0"/>
    <w:rsid w:val="008E7BAF"/>
    <w:rsid w:val="008F36E0"/>
    <w:rsid w:val="009006B1"/>
    <w:rsid w:val="0092146B"/>
    <w:rsid w:val="00934043"/>
    <w:rsid w:val="00946967"/>
    <w:rsid w:val="00961230"/>
    <w:rsid w:val="0099326D"/>
    <w:rsid w:val="009A2548"/>
    <w:rsid w:val="009C76F9"/>
    <w:rsid w:val="009E1145"/>
    <w:rsid w:val="009F771D"/>
    <w:rsid w:val="00A04D81"/>
    <w:rsid w:val="00A1488F"/>
    <w:rsid w:val="00A3333E"/>
    <w:rsid w:val="00A37390"/>
    <w:rsid w:val="00A46770"/>
    <w:rsid w:val="00A52421"/>
    <w:rsid w:val="00A57D07"/>
    <w:rsid w:val="00A614F1"/>
    <w:rsid w:val="00AB105E"/>
    <w:rsid w:val="00AB1812"/>
    <w:rsid w:val="00AB35A6"/>
    <w:rsid w:val="00AC5C56"/>
    <w:rsid w:val="00AE4E5E"/>
    <w:rsid w:val="00B00863"/>
    <w:rsid w:val="00B01CAD"/>
    <w:rsid w:val="00B1143E"/>
    <w:rsid w:val="00B21BED"/>
    <w:rsid w:val="00B47ECE"/>
    <w:rsid w:val="00B60B2D"/>
    <w:rsid w:val="00B80549"/>
    <w:rsid w:val="00BA3803"/>
    <w:rsid w:val="00BB0ED7"/>
    <w:rsid w:val="00BB6622"/>
    <w:rsid w:val="00BC5AFC"/>
    <w:rsid w:val="00BC7349"/>
    <w:rsid w:val="00C00D33"/>
    <w:rsid w:val="00C12613"/>
    <w:rsid w:val="00C13996"/>
    <w:rsid w:val="00C21370"/>
    <w:rsid w:val="00C70448"/>
    <w:rsid w:val="00C741D9"/>
    <w:rsid w:val="00C964D8"/>
    <w:rsid w:val="00CB026A"/>
    <w:rsid w:val="00CE72AE"/>
    <w:rsid w:val="00D12486"/>
    <w:rsid w:val="00D50DC6"/>
    <w:rsid w:val="00D6139A"/>
    <w:rsid w:val="00D63476"/>
    <w:rsid w:val="00DC416C"/>
    <w:rsid w:val="00DD1B08"/>
    <w:rsid w:val="00DF2493"/>
    <w:rsid w:val="00E05D31"/>
    <w:rsid w:val="00E16FE2"/>
    <w:rsid w:val="00E348D3"/>
    <w:rsid w:val="00E6206C"/>
    <w:rsid w:val="00E86151"/>
    <w:rsid w:val="00ED6D86"/>
    <w:rsid w:val="00EF2853"/>
    <w:rsid w:val="00F1602E"/>
    <w:rsid w:val="00F900E9"/>
    <w:rsid w:val="00FB09EE"/>
    <w:rsid w:val="01050F22"/>
    <w:rsid w:val="0107379B"/>
    <w:rsid w:val="012A2737"/>
    <w:rsid w:val="01341807"/>
    <w:rsid w:val="01401F5A"/>
    <w:rsid w:val="014822BA"/>
    <w:rsid w:val="01964270"/>
    <w:rsid w:val="01B14C06"/>
    <w:rsid w:val="020E2058"/>
    <w:rsid w:val="021C29C7"/>
    <w:rsid w:val="021D4F0D"/>
    <w:rsid w:val="021F6013"/>
    <w:rsid w:val="02327789"/>
    <w:rsid w:val="024617F2"/>
    <w:rsid w:val="02775E4F"/>
    <w:rsid w:val="02AA25BC"/>
    <w:rsid w:val="02AB78A7"/>
    <w:rsid w:val="02DC2156"/>
    <w:rsid w:val="0365214C"/>
    <w:rsid w:val="03CA0201"/>
    <w:rsid w:val="03CC21CB"/>
    <w:rsid w:val="03D32BD3"/>
    <w:rsid w:val="03D80B70"/>
    <w:rsid w:val="03DE5A5A"/>
    <w:rsid w:val="04096F7B"/>
    <w:rsid w:val="042C0EBC"/>
    <w:rsid w:val="04473600"/>
    <w:rsid w:val="04497378"/>
    <w:rsid w:val="04724B74"/>
    <w:rsid w:val="048D5090"/>
    <w:rsid w:val="04F33787"/>
    <w:rsid w:val="05374F42"/>
    <w:rsid w:val="05A607FA"/>
    <w:rsid w:val="060A0D89"/>
    <w:rsid w:val="06224324"/>
    <w:rsid w:val="06345E06"/>
    <w:rsid w:val="066261EA"/>
    <w:rsid w:val="068943A3"/>
    <w:rsid w:val="06996967"/>
    <w:rsid w:val="06BA455D"/>
    <w:rsid w:val="06BA510E"/>
    <w:rsid w:val="06E04521"/>
    <w:rsid w:val="06E415DA"/>
    <w:rsid w:val="070677A2"/>
    <w:rsid w:val="070B6B66"/>
    <w:rsid w:val="07567D8F"/>
    <w:rsid w:val="075E138C"/>
    <w:rsid w:val="07830DF3"/>
    <w:rsid w:val="078608E3"/>
    <w:rsid w:val="0788465B"/>
    <w:rsid w:val="07F92E63"/>
    <w:rsid w:val="082A74C0"/>
    <w:rsid w:val="08471E20"/>
    <w:rsid w:val="086C1376"/>
    <w:rsid w:val="088C1E28"/>
    <w:rsid w:val="08AF44BB"/>
    <w:rsid w:val="08B1373D"/>
    <w:rsid w:val="095011A8"/>
    <w:rsid w:val="0955056D"/>
    <w:rsid w:val="095962AF"/>
    <w:rsid w:val="096864F2"/>
    <w:rsid w:val="09B63701"/>
    <w:rsid w:val="09EB2018"/>
    <w:rsid w:val="09F2225F"/>
    <w:rsid w:val="09FE6E56"/>
    <w:rsid w:val="0A083831"/>
    <w:rsid w:val="0A0A75A9"/>
    <w:rsid w:val="0A1817C8"/>
    <w:rsid w:val="0A2F3135"/>
    <w:rsid w:val="0A670558"/>
    <w:rsid w:val="0A7315F2"/>
    <w:rsid w:val="0A84735B"/>
    <w:rsid w:val="0A96708F"/>
    <w:rsid w:val="0AD33E3F"/>
    <w:rsid w:val="0AF02C43"/>
    <w:rsid w:val="0AFE0548"/>
    <w:rsid w:val="0B057D70"/>
    <w:rsid w:val="0B136D51"/>
    <w:rsid w:val="0B1701D0"/>
    <w:rsid w:val="0B220922"/>
    <w:rsid w:val="0B334747"/>
    <w:rsid w:val="0B48482D"/>
    <w:rsid w:val="0B666A61"/>
    <w:rsid w:val="0B84338B"/>
    <w:rsid w:val="0BCB0FBA"/>
    <w:rsid w:val="0BEA58E4"/>
    <w:rsid w:val="0BF04195"/>
    <w:rsid w:val="0C032502"/>
    <w:rsid w:val="0C48085D"/>
    <w:rsid w:val="0C550884"/>
    <w:rsid w:val="0C7927C4"/>
    <w:rsid w:val="0C7E602C"/>
    <w:rsid w:val="0CB657C6"/>
    <w:rsid w:val="0CCA74C4"/>
    <w:rsid w:val="0CD43E9E"/>
    <w:rsid w:val="0D116EA1"/>
    <w:rsid w:val="0D3D7C96"/>
    <w:rsid w:val="0D847672"/>
    <w:rsid w:val="0DB066B9"/>
    <w:rsid w:val="0DB742A8"/>
    <w:rsid w:val="0DB8556E"/>
    <w:rsid w:val="0DC61A39"/>
    <w:rsid w:val="0DD423A8"/>
    <w:rsid w:val="0E060087"/>
    <w:rsid w:val="0E121122"/>
    <w:rsid w:val="0E130CAA"/>
    <w:rsid w:val="0E2D188F"/>
    <w:rsid w:val="0E2D7D0A"/>
    <w:rsid w:val="0E344BF5"/>
    <w:rsid w:val="0EBB1F6A"/>
    <w:rsid w:val="0EBC64E6"/>
    <w:rsid w:val="0EE54141"/>
    <w:rsid w:val="0F0D49C2"/>
    <w:rsid w:val="0F130CAE"/>
    <w:rsid w:val="0F16254C"/>
    <w:rsid w:val="0F1869D9"/>
    <w:rsid w:val="0F1F3AF7"/>
    <w:rsid w:val="0F3A5BFD"/>
    <w:rsid w:val="0FCC5594"/>
    <w:rsid w:val="0FD03043"/>
    <w:rsid w:val="0FF87EA4"/>
    <w:rsid w:val="10196798"/>
    <w:rsid w:val="10352EA6"/>
    <w:rsid w:val="10523A58"/>
    <w:rsid w:val="1053332C"/>
    <w:rsid w:val="10944070"/>
    <w:rsid w:val="10BD35C7"/>
    <w:rsid w:val="10DE709A"/>
    <w:rsid w:val="10EA5A3E"/>
    <w:rsid w:val="10FD3DDB"/>
    <w:rsid w:val="11124F95"/>
    <w:rsid w:val="111B209C"/>
    <w:rsid w:val="112847B9"/>
    <w:rsid w:val="113A2368"/>
    <w:rsid w:val="113F222E"/>
    <w:rsid w:val="11766463"/>
    <w:rsid w:val="117B6FDE"/>
    <w:rsid w:val="118F65E6"/>
    <w:rsid w:val="11DF756D"/>
    <w:rsid w:val="12132323"/>
    <w:rsid w:val="123478B9"/>
    <w:rsid w:val="12380A2C"/>
    <w:rsid w:val="12555A81"/>
    <w:rsid w:val="12AB55D5"/>
    <w:rsid w:val="12AF0CEE"/>
    <w:rsid w:val="12BE7183"/>
    <w:rsid w:val="12E558F2"/>
    <w:rsid w:val="12EA61CA"/>
    <w:rsid w:val="13367482"/>
    <w:rsid w:val="13631AD8"/>
    <w:rsid w:val="138B7E69"/>
    <w:rsid w:val="13933490"/>
    <w:rsid w:val="13C77038"/>
    <w:rsid w:val="13DA7FEC"/>
    <w:rsid w:val="13F54E26"/>
    <w:rsid w:val="13FC0559"/>
    <w:rsid w:val="13FD1F2D"/>
    <w:rsid w:val="14005579"/>
    <w:rsid w:val="141D437D"/>
    <w:rsid w:val="14294AD0"/>
    <w:rsid w:val="1439691C"/>
    <w:rsid w:val="14653122"/>
    <w:rsid w:val="146B158C"/>
    <w:rsid w:val="14B6026D"/>
    <w:rsid w:val="14C33176"/>
    <w:rsid w:val="14E530ED"/>
    <w:rsid w:val="14ED3D4F"/>
    <w:rsid w:val="14F50E56"/>
    <w:rsid w:val="15170DCC"/>
    <w:rsid w:val="152B4878"/>
    <w:rsid w:val="15671F3D"/>
    <w:rsid w:val="15724254"/>
    <w:rsid w:val="159674B8"/>
    <w:rsid w:val="15A9236C"/>
    <w:rsid w:val="15D1541F"/>
    <w:rsid w:val="15F93FA7"/>
    <w:rsid w:val="15FF1F8C"/>
    <w:rsid w:val="16041350"/>
    <w:rsid w:val="16331C36"/>
    <w:rsid w:val="163D4862"/>
    <w:rsid w:val="16504596"/>
    <w:rsid w:val="165171D3"/>
    <w:rsid w:val="16704C38"/>
    <w:rsid w:val="167C538B"/>
    <w:rsid w:val="16897AA8"/>
    <w:rsid w:val="16BA4105"/>
    <w:rsid w:val="16FC471D"/>
    <w:rsid w:val="16FC64CC"/>
    <w:rsid w:val="17005FBC"/>
    <w:rsid w:val="172872C1"/>
    <w:rsid w:val="175E2CE2"/>
    <w:rsid w:val="176127D3"/>
    <w:rsid w:val="17645C24"/>
    <w:rsid w:val="17800EAB"/>
    <w:rsid w:val="179D1A5D"/>
    <w:rsid w:val="17AA0AB8"/>
    <w:rsid w:val="17CF598E"/>
    <w:rsid w:val="18860743"/>
    <w:rsid w:val="18B708FC"/>
    <w:rsid w:val="18CD6371"/>
    <w:rsid w:val="18DF60A5"/>
    <w:rsid w:val="18F25DD8"/>
    <w:rsid w:val="18F66641"/>
    <w:rsid w:val="18FC6C57"/>
    <w:rsid w:val="19045B0B"/>
    <w:rsid w:val="190B50EC"/>
    <w:rsid w:val="1954439D"/>
    <w:rsid w:val="196D0AC9"/>
    <w:rsid w:val="196F6985"/>
    <w:rsid w:val="1A2E2E40"/>
    <w:rsid w:val="1A3B4D70"/>
    <w:rsid w:val="1A501008"/>
    <w:rsid w:val="1A7867B1"/>
    <w:rsid w:val="1A937147"/>
    <w:rsid w:val="1AB05F4B"/>
    <w:rsid w:val="1AD3559A"/>
    <w:rsid w:val="1AD80FFE"/>
    <w:rsid w:val="1AE31E7C"/>
    <w:rsid w:val="1B027383"/>
    <w:rsid w:val="1B0E4A1F"/>
    <w:rsid w:val="1B155DAE"/>
    <w:rsid w:val="1B1A33C4"/>
    <w:rsid w:val="1B811695"/>
    <w:rsid w:val="1BA17641"/>
    <w:rsid w:val="1BB2184F"/>
    <w:rsid w:val="1BB235FD"/>
    <w:rsid w:val="1BBE6445"/>
    <w:rsid w:val="1BC752FA"/>
    <w:rsid w:val="1BEE115E"/>
    <w:rsid w:val="1C0647EA"/>
    <w:rsid w:val="1C316C17"/>
    <w:rsid w:val="1C744D56"/>
    <w:rsid w:val="1C7B60E4"/>
    <w:rsid w:val="1C84080D"/>
    <w:rsid w:val="1CA166AE"/>
    <w:rsid w:val="1D175E0D"/>
    <w:rsid w:val="1D44297A"/>
    <w:rsid w:val="1D507571"/>
    <w:rsid w:val="1D6628F1"/>
    <w:rsid w:val="1D6923E1"/>
    <w:rsid w:val="1D8965DF"/>
    <w:rsid w:val="1DC37D43"/>
    <w:rsid w:val="1E032835"/>
    <w:rsid w:val="1E1835B2"/>
    <w:rsid w:val="1E2307E2"/>
    <w:rsid w:val="1E6502D1"/>
    <w:rsid w:val="1E9A4F48"/>
    <w:rsid w:val="1ED10308"/>
    <w:rsid w:val="1F4E5D32"/>
    <w:rsid w:val="1F505606"/>
    <w:rsid w:val="1F5570C1"/>
    <w:rsid w:val="1F59095F"/>
    <w:rsid w:val="1F7F7C9A"/>
    <w:rsid w:val="1F9F033C"/>
    <w:rsid w:val="1FE81CE3"/>
    <w:rsid w:val="1FE83A91"/>
    <w:rsid w:val="1FF22B62"/>
    <w:rsid w:val="1FFB37C4"/>
    <w:rsid w:val="20146634"/>
    <w:rsid w:val="20322F5E"/>
    <w:rsid w:val="20825C93"/>
    <w:rsid w:val="20B14A94"/>
    <w:rsid w:val="20BE2A44"/>
    <w:rsid w:val="20CC5161"/>
    <w:rsid w:val="20D51029"/>
    <w:rsid w:val="20D52267"/>
    <w:rsid w:val="20D83B05"/>
    <w:rsid w:val="20FA0C45"/>
    <w:rsid w:val="20FB40B4"/>
    <w:rsid w:val="212A1E87"/>
    <w:rsid w:val="21505D92"/>
    <w:rsid w:val="21751354"/>
    <w:rsid w:val="21995735"/>
    <w:rsid w:val="21BB3337"/>
    <w:rsid w:val="21E14C3C"/>
    <w:rsid w:val="21E36877"/>
    <w:rsid w:val="21FE134A"/>
    <w:rsid w:val="22002416"/>
    <w:rsid w:val="226A4C31"/>
    <w:rsid w:val="227E248B"/>
    <w:rsid w:val="22B8599C"/>
    <w:rsid w:val="22E20C6B"/>
    <w:rsid w:val="232272BA"/>
    <w:rsid w:val="23565CDA"/>
    <w:rsid w:val="23922691"/>
    <w:rsid w:val="23985DF6"/>
    <w:rsid w:val="23D902C0"/>
    <w:rsid w:val="23DF33FD"/>
    <w:rsid w:val="23F92711"/>
    <w:rsid w:val="240B41F2"/>
    <w:rsid w:val="24451537"/>
    <w:rsid w:val="249579E2"/>
    <w:rsid w:val="24C40978"/>
    <w:rsid w:val="24E0742D"/>
    <w:rsid w:val="251B6BE7"/>
    <w:rsid w:val="25227A45"/>
    <w:rsid w:val="252713A1"/>
    <w:rsid w:val="252F5CBE"/>
    <w:rsid w:val="254F4C64"/>
    <w:rsid w:val="255D0A7D"/>
    <w:rsid w:val="256736AA"/>
    <w:rsid w:val="2580651A"/>
    <w:rsid w:val="25B14A61"/>
    <w:rsid w:val="25B74631"/>
    <w:rsid w:val="25C058B7"/>
    <w:rsid w:val="26355A99"/>
    <w:rsid w:val="26377520"/>
    <w:rsid w:val="266A3452"/>
    <w:rsid w:val="26806FF2"/>
    <w:rsid w:val="26D94133"/>
    <w:rsid w:val="26E050A8"/>
    <w:rsid w:val="26E40FC7"/>
    <w:rsid w:val="26FE7807"/>
    <w:rsid w:val="27207FB4"/>
    <w:rsid w:val="273B6B9C"/>
    <w:rsid w:val="27473793"/>
    <w:rsid w:val="27547C5E"/>
    <w:rsid w:val="275B723E"/>
    <w:rsid w:val="276F4A98"/>
    <w:rsid w:val="2781161A"/>
    <w:rsid w:val="279D1605"/>
    <w:rsid w:val="27A26C1B"/>
    <w:rsid w:val="27A40BE5"/>
    <w:rsid w:val="27A72484"/>
    <w:rsid w:val="27E70AD2"/>
    <w:rsid w:val="27E80AF8"/>
    <w:rsid w:val="27FA25B3"/>
    <w:rsid w:val="28101DD7"/>
    <w:rsid w:val="281A7247"/>
    <w:rsid w:val="28213FE4"/>
    <w:rsid w:val="282B09BF"/>
    <w:rsid w:val="283C0B1E"/>
    <w:rsid w:val="28491E61"/>
    <w:rsid w:val="284B1061"/>
    <w:rsid w:val="285223EF"/>
    <w:rsid w:val="285A12A4"/>
    <w:rsid w:val="287265EE"/>
    <w:rsid w:val="28732366"/>
    <w:rsid w:val="28866238"/>
    <w:rsid w:val="289742A6"/>
    <w:rsid w:val="289A5B44"/>
    <w:rsid w:val="28B01EFC"/>
    <w:rsid w:val="28B210E0"/>
    <w:rsid w:val="28C64B8B"/>
    <w:rsid w:val="28E62B38"/>
    <w:rsid w:val="28F45255"/>
    <w:rsid w:val="28FE2577"/>
    <w:rsid w:val="29027EEF"/>
    <w:rsid w:val="293D309F"/>
    <w:rsid w:val="294855A0"/>
    <w:rsid w:val="294D2BB7"/>
    <w:rsid w:val="29566AD5"/>
    <w:rsid w:val="29736AC1"/>
    <w:rsid w:val="29842A7C"/>
    <w:rsid w:val="2996455E"/>
    <w:rsid w:val="29CC7F7F"/>
    <w:rsid w:val="29D67050"/>
    <w:rsid w:val="2A0140CD"/>
    <w:rsid w:val="2A047719"/>
    <w:rsid w:val="2A4346E5"/>
    <w:rsid w:val="2A636B36"/>
    <w:rsid w:val="2A6C52BE"/>
    <w:rsid w:val="2A7C19A5"/>
    <w:rsid w:val="2A84085A"/>
    <w:rsid w:val="2A97233B"/>
    <w:rsid w:val="2AA809EC"/>
    <w:rsid w:val="2AD73080"/>
    <w:rsid w:val="2AEF2177"/>
    <w:rsid w:val="2AF66A43"/>
    <w:rsid w:val="2B0B2D29"/>
    <w:rsid w:val="2B146082"/>
    <w:rsid w:val="2B51698E"/>
    <w:rsid w:val="2BB94533"/>
    <w:rsid w:val="2BD44F30"/>
    <w:rsid w:val="2BFD6F72"/>
    <w:rsid w:val="2C0003B4"/>
    <w:rsid w:val="2C0F23A5"/>
    <w:rsid w:val="2C46226B"/>
    <w:rsid w:val="2C4C53A8"/>
    <w:rsid w:val="2CD035B1"/>
    <w:rsid w:val="2CD45AC9"/>
    <w:rsid w:val="2D12039F"/>
    <w:rsid w:val="2D282CCB"/>
    <w:rsid w:val="2D6706EB"/>
    <w:rsid w:val="2DC01BA9"/>
    <w:rsid w:val="2DFB7085"/>
    <w:rsid w:val="2E163EBF"/>
    <w:rsid w:val="2E3B56D4"/>
    <w:rsid w:val="2E424CB4"/>
    <w:rsid w:val="2E494294"/>
    <w:rsid w:val="2E5847FD"/>
    <w:rsid w:val="2E940DDF"/>
    <w:rsid w:val="2EBA2A9C"/>
    <w:rsid w:val="2F087CAC"/>
    <w:rsid w:val="2F7610B9"/>
    <w:rsid w:val="2F776BDF"/>
    <w:rsid w:val="2F7C0F4C"/>
    <w:rsid w:val="2FEF6776"/>
    <w:rsid w:val="301937F3"/>
    <w:rsid w:val="301D32E3"/>
    <w:rsid w:val="303074BA"/>
    <w:rsid w:val="30313232"/>
    <w:rsid w:val="30601421"/>
    <w:rsid w:val="308B2942"/>
    <w:rsid w:val="30BC47B1"/>
    <w:rsid w:val="30C502D2"/>
    <w:rsid w:val="30D831B3"/>
    <w:rsid w:val="31342FDA"/>
    <w:rsid w:val="315F7B78"/>
    <w:rsid w:val="31813D45"/>
    <w:rsid w:val="31AF08B2"/>
    <w:rsid w:val="3227669B"/>
    <w:rsid w:val="3233399F"/>
    <w:rsid w:val="32911D66"/>
    <w:rsid w:val="32A63A63"/>
    <w:rsid w:val="32C1089D"/>
    <w:rsid w:val="32D0288E"/>
    <w:rsid w:val="32F83B93"/>
    <w:rsid w:val="3344502A"/>
    <w:rsid w:val="3346091C"/>
    <w:rsid w:val="33582884"/>
    <w:rsid w:val="337551E4"/>
    <w:rsid w:val="33890C8F"/>
    <w:rsid w:val="339F2653"/>
    <w:rsid w:val="33E34843"/>
    <w:rsid w:val="343F7E4F"/>
    <w:rsid w:val="34474DD2"/>
    <w:rsid w:val="345B262C"/>
    <w:rsid w:val="3474193F"/>
    <w:rsid w:val="348E47AF"/>
    <w:rsid w:val="34C04B85"/>
    <w:rsid w:val="34CA77B1"/>
    <w:rsid w:val="34FC34DC"/>
    <w:rsid w:val="34FD61A8"/>
    <w:rsid w:val="353F3CFB"/>
    <w:rsid w:val="3589141A"/>
    <w:rsid w:val="358A766C"/>
    <w:rsid w:val="35A2555E"/>
    <w:rsid w:val="35A85D44"/>
    <w:rsid w:val="35C30488"/>
    <w:rsid w:val="35C366DA"/>
    <w:rsid w:val="35CC66E6"/>
    <w:rsid w:val="360016DD"/>
    <w:rsid w:val="36241C42"/>
    <w:rsid w:val="36370E76"/>
    <w:rsid w:val="36677F94"/>
    <w:rsid w:val="36BD1D86"/>
    <w:rsid w:val="36D05553"/>
    <w:rsid w:val="36D3294D"/>
    <w:rsid w:val="36DC3513"/>
    <w:rsid w:val="36EC3807"/>
    <w:rsid w:val="36EC7EB3"/>
    <w:rsid w:val="36F25B98"/>
    <w:rsid w:val="36F56D67"/>
    <w:rsid w:val="36F9612C"/>
    <w:rsid w:val="373B6744"/>
    <w:rsid w:val="37461371"/>
    <w:rsid w:val="3760215D"/>
    <w:rsid w:val="37623CD1"/>
    <w:rsid w:val="377F0D27"/>
    <w:rsid w:val="37977E1F"/>
    <w:rsid w:val="37DC60FB"/>
    <w:rsid w:val="38031798"/>
    <w:rsid w:val="381476C1"/>
    <w:rsid w:val="383C2774"/>
    <w:rsid w:val="38402264"/>
    <w:rsid w:val="38630159"/>
    <w:rsid w:val="38DE1A7D"/>
    <w:rsid w:val="38E76B84"/>
    <w:rsid w:val="39002936"/>
    <w:rsid w:val="39776AD3"/>
    <w:rsid w:val="39DC7D6B"/>
    <w:rsid w:val="39F4300C"/>
    <w:rsid w:val="3A241712"/>
    <w:rsid w:val="3A3F654C"/>
    <w:rsid w:val="3A7206CF"/>
    <w:rsid w:val="3AA12D62"/>
    <w:rsid w:val="3AE76DCF"/>
    <w:rsid w:val="3AFD443D"/>
    <w:rsid w:val="3B253993"/>
    <w:rsid w:val="3B2A0FAA"/>
    <w:rsid w:val="3B2F036E"/>
    <w:rsid w:val="3B424545"/>
    <w:rsid w:val="3B67317B"/>
    <w:rsid w:val="3B732951"/>
    <w:rsid w:val="3C0E61D6"/>
    <w:rsid w:val="3C644BDB"/>
    <w:rsid w:val="3C86605C"/>
    <w:rsid w:val="3C981DE4"/>
    <w:rsid w:val="3C990195"/>
    <w:rsid w:val="3CEA279F"/>
    <w:rsid w:val="3D2263DC"/>
    <w:rsid w:val="3D2F4655"/>
    <w:rsid w:val="3D6C7658"/>
    <w:rsid w:val="3DB35286"/>
    <w:rsid w:val="3DBF1E7D"/>
    <w:rsid w:val="3DD376D7"/>
    <w:rsid w:val="3DDE7D43"/>
    <w:rsid w:val="3DEC5FB1"/>
    <w:rsid w:val="3E0930F8"/>
    <w:rsid w:val="3E1C0B92"/>
    <w:rsid w:val="3E2C2CCF"/>
    <w:rsid w:val="3E3C5AEC"/>
    <w:rsid w:val="3E4E4FAF"/>
    <w:rsid w:val="3E5E1696"/>
    <w:rsid w:val="3E66054B"/>
    <w:rsid w:val="3EB43064"/>
    <w:rsid w:val="3EBE0387"/>
    <w:rsid w:val="3EC040FF"/>
    <w:rsid w:val="3EF773F5"/>
    <w:rsid w:val="3EFF69BA"/>
    <w:rsid w:val="3F0A35CC"/>
    <w:rsid w:val="3F473ED8"/>
    <w:rsid w:val="3F780536"/>
    <w:rsid w:val="3FA330D9"/>
    <w:rsid w:val="3FA806EF"/>
    <w:rsid w:val="3FD61700"/>
    <w:rsid w:val="3FE61943"/>
    <w:rsid w:val="400224F5"/>
    <w:rsid w:val="40297A82"/>
    <w:rsid w:val="403A3A3D"/>
    <w:rsid w:val="403F72A5"/>
    <w:rsid w:val="40644F5E"/>
    <w:rsid w:val="4072590C"/>
    <w:rsid w:val="407836C0"/>
    <w:rsid w:val="40B41A41"/>
    <w:rsid w:val="40F57964"/>
    <w:rsid w:val="40FB7670"/>
    <w:rsid w:val="410302D3"/>
    <w:rsid w:val="41140732"/>
    <w:rsid w:val="411F7A04"/>
    <w:rsid w:val="41216678"/>
    <w:rsid w:val="41326E0A"/>
    <w:rsid w:val="414620EC"/>
    <w:rsid w:val="414F5987"/>
    <w:rsid w:val="415D3E87"/>
    <w:rsid w:val="416C6712"/>
    <w:rsid w:val="416D399E"/>
    <w:rsid w:val="41751E38"/>
    <w:rsid w:val="41A1358C"/>
    <w:rsid w:val="41A41AB6"/>
    <w:rsid w:val="41C31810"/>
    <w:rsid w:val="41C537DA"/>
    <w:rsid w:val="42002A64"/>
    <w:rsid w:val="420B38E3"/>
    <w:rsid w:val="42310E70"/>
    <w:rsid w:val="424B0183"/>
    <w:rsid w:val="428E0070"/>
    <w:rsid w:val="42C27D1A"/>
    <w:rsid w:val="42F73E67"/>
    <w:rsid w:val="43196572"/>
    <w:rsid w:val="431E31A2"/>
    <w:rsid w:val="43212C92"/>
    <w:rsid w:val="438C104B"/>
    <w:rsid w:val="43A318F9"/>
    <w:rsid w:val="43C03892"/>
    <w:rsid w:val="43C401ED"/>
    <w:rsid w:val="43FB1735"/>
    <w:rsid w:val="43FE030A"/>
    <w:rsid w:val="44054362"/>
    <w:rsid w:val="443B5FD6"/>
    <w:rsid w:val="443F1622"/>
    <w:rsid w:val="4476700E"/>
    <w:rsid w:val="449D0A3E"/>
    <w:rsid w:val="449E6D55"/>
    <w:rsid w:val="44ED0E70"/>
    <w:rsid w:val="44FF2FBF"/>
    <w:rsid w:val="4508410A"/>
    <w:rsid w:val="450B1E4C"/>
    <w:rsid w:val="451D3BF8"/>
    <w:rsid w:val="45603F46"/>
    <w:rsid w:val="459A4484"/>
    <w:rsid w:val="45DE30BD"/>
    <w:rsid w:val="46236D21"/>
    <w:rsid w:val="463C56D7"/>
    <w:rsid w:val="463D7DE3"/>
    <w:rsid w:val="46496788"/>
    <w:rsid w:val="465D2233"/>
    <w:rsid w:val="466B0DF4"/>
    <w:rsid w:val="467852BF"/>
    <w:rsid w:val="46843C64"/>
    <w:rsid w:val="46BB41F1"/>
    <w:rsid w:val="46C67DD9"/>
    <w:rsid w:val="46CE4EDF"/>
    <w:rsid w:val="47013507"/>
    <w:rsid w:val="471F398D"/>
    <w:rsid w:val="472041F1"/>
    <w:rsid w:val="473E02B7"/>
    <w:rsid w:val="47665118"/>
    <w:rsid w:val="47775577"/>
    <w:rsid w:val="47AD0F98"/>
    <w:rsid w:val="47B20100"/>
    <w:rsid w:val="47EC1AC1"/>
    <w:rsid w:val="480312B3"/>
    <w:rsid w:val="48846D6F"/>
    <w:rsid w:val="48855A71"/>
    <w:rsid w:val="48914416"/>
    <w:rsid w:val="48992679"/>
    <w:rsid w:val="48BF7D88"/>
    <w:rsid w:val="48EC3D42"/>
    <w:rsid w:val="48F7760A"/>
    <w:rsid w:val="493F3E72"/>
    <w:rsid w:val="49496A9F"/>
    <w:rsid w:val="49667651"/>
    <w:rsid w:val="499C12C5"/>
    <w:rsid w:val="49A5461D"/>
    <w:rsid w:val="49A63EF1"/>
    <w:rsid w:val="49ED1B20"/>
    <w:rsid w:val="4A0178BE"/>
    <w:rsid w:val="4A1C102F"/>
    <w:rsid w:val="4A3F1A32"/>
    <w:rsid w:val="4A484FA8"/>
    <w:rsid w:val="4A54394D"/>
    <w:rsid w:val="4A6718D3"/>
    <w:rsid w:val="4A6F0787"/>
    <w:rsid w:val="4A7977EF"/>
    <w:rsid w:val="4A834233"/>
    <w:rsid w:val="4AA56E8F"/>
    <w:rsid w:val="4AAC3789"/>
    <w:rsid w:val="4AB64608"/>
    <w:rsid w:val="4AC705C3"/>
    <w:rsid w:val="4B2772B4"/>
    <w:rsid w:val="4B386DCB"/>
    <w:rsid w:val="4B3A2B43"/>
    <w:rsid w:val="4B577B99"/>
    <w:rsid w:val="4B6127C6"/>
    <w:rsid w:val="4B7014A6"/>
    <w:rsid w:val="4BA32DDE"/>
    <w:rsid w:val="4BB40B47"/>
    <w:rsid w:val="4BCB1D03"/>
    <w:rsid w:val="4BE34F89"/>
    <w:rsid w:val="4C15535E"/>
    <w:rsid w:val="4C87625C"/>
    <w:rsid w:val="4C982217"/>
    <w:rsid w:val="4CC9537C"/>
    <w:rsid w:val="4CD57548"/>
    <w:rsid w:val="4D041C25"/>
    <w:rsid w:val="4D137AF0"/>
    <w:rsid w:val="4D241CFD"/>
    <w:rsid w:val="4D286548"/>
    <w:rsid w:val="4D2C0BB1"/>
    <w:rsid w:val="4D3006A2"/>
    <w:rsid w:val="4D4C4DB0"/>
    <w:rsid w:val="4D6B16DA"/>
    <w:rsid w:val="4D8F40FF"/>
    <w:rsid w:val="4D9A5B1B"/>
    <w:rsid w:val="4DFD643E"/>
    <w:rsid w:val="4E366898"/>
    <w:rsid w:val="4EA8070C"/>
    <w:rsid w:val="4ECE26DB"/>
    <w:rsid w:val="4ED462E8"/>
    <w:rsid w:val="4EE01C53"/>
    <w:rsid w:val="4F950C90"/>
    <w:rsid w:val="4F9F38BD"/>
    <w:rsid w:val="4FEE214E"/>
    <w:rsid w:val="501E0C85"/>
    <w:rsid w:val="501F67AB"/>
    <w:rsid w:val="504D50C7"/>
    <w:rsid w:val="50546455"/>
    <w:rsid w:val="505F4DFA"/>
    <w:rsid w:val="506856CA"/>
    <w:rsid w:val="50E7551B"/>
    <w:rsid w:val="51A952AF"/>
    <w:rsid w:val="51E1640E"/>
    <w:rsid w:val="51E41A5B"/>
    <w:rsid w:val="51EC53BB"/>
    <w:rsid w:val="52190A84"/>
    <w:rsid w:val="5257047F"/>
    <w:rsid w:val="526B3F2A"/>
    <w:rsid w:val="52BE22AC"/>
    <w:rsid w:val="52ED3A65"/>
    <w:rsid w:val="52ED4E04"/>
    <w:rsid w:val="53140020"/>
    <w:rsid w:val="53146370"/>
    <w:rsid w:val="531B76FE"/>
    <w:rsid w:val="5325232B"/>
    <w:rsid w:val="533E33EC"/>
    <w:rsid w:val="53426A39"/>
    <w:rsid w:val="53590226"/>
    <w:rsid w:val="536A2433"/>
    <w:rsid w:val="536F35A6"/>
    <w:rsid w:val="537868FE"/>
    <w:rsid w:val="5382152B"/>
    <w:rsid w:val="538D167F"/>
    <w:rsid w:val="53C557D1"/>
    <w:rsid w:val="544D30C7"/>
    <w:rsid w:val="54534C76"/>
    <w:rsid w:val="546D3F89"/>
    <w:rsid w:val="54A61249"/>
    <w:rsid w:val="54CD67D6"/>
    <w:rsid w:val="54E57FC4"/>
    <w:rsid w:val="552D54C7"/>
    <w:rsid w:val="5539030F"/>
    <w:rsid w:val="5550047B"/>
    <w:rsid w:val="556C5FEF"/>
    <w:rsid w:val="55FD0B3B"/>
    <w:rsid w:val="560C1580"/>
    <w:rsid w:val="569752EE"/>
    <w:rsid w:val="56B04601"/>
    <w:rsid w:val="56DB6A89"/>
    <w:rsid w:val="570A5ABF"/>
    <w:rsid w:val="571F7091"/>
    <w:rsid w:val="572528F9"/>
    <w:rsid w:val="573C5E95"/>
    <w:rsid w:val="574D4B05"/>
    <w:rsid w:val="57723665"/>
    <w:rsid w:val="57996E43"/>
    <w:rsid w:val="57A04676"/>
    <w:rsid w:val="57B95737"/>
    <w:rsid w:val="57C33EC0"/>
    <w:rsid w:val="57CC0FC7"/>
    <w:rsid w:val="57FD3876"/>
    <w:rsid w:val="57FE314A"/>
    <w:rsid w:val="58065367"/>
    <w:rsid w:val="587B5040"/>
    <w:rsid w:val="58C03626"/>
    <w:rsid w:val="58C223CA"/>
    <w:rsid w:val="58E30CBE"/>
    <w:rsid w:val="58F85DEC"/>
    <w:rsid w:val="592543F3"/>
    <w:rsid w:val="59397737"/>
    <w:rsid w:val="59446709"/>
    <w:rsid w:val="594A6647"/>
    <w:rsid w:val="59831B59"/>
    <w:rsid w:val="59B44408"/>
    <w:rsid w:val="59C83A10"/>
    <w:rsid w:val="59FC4C8A"/>
    <w:rsid w:val="5A1B7FE4"/>
    <w:rsid w:val="5A455061"/>
    <w:rsid w:val="5A690D4F"/>
    <w:rsid w:val="5AC24903"/>
    <w:rsid w:val="5ADF3707"/>
    <w:rsid w:val="5AF34ABD"/>
    <w:rsid w:val="5B04316E"/>
    <w:rsid w:val="5B3E21DC"/>
    <w:rsid w:val="5B5716E7"/>
    <w:rsid w:val="5BE755A7"/>
    <w:rsid w:val="5BEC60DC"/>
    <w:rsid w:val="5C0351D3"/>
    <w:rsid w:val="5C1F025F"/>
    <w:rsid w:val="5C447CC6"/>
    <w:rsid w:val="5C702869"/>
    <w:rsid w:val="5C8A31FF"/>
    <w:rsid w:val="5C971047"/>
    <w:rsid w:val="5CAA4D38"/>
    <w:rsid w:val="5CFB5EAA"/>
    <w:rsid w:val="5D15487C"/>
    <w:rsid w:val="5D213B63"/>
    <w:rsid w:val="5D487342"/>
    <w:rsid w:val="5D4B54DD"/>
    <w:rsid w:val="5D9C143B"/>
    <w:rsid w:val="5DDB6408"/>
    <w:rsid w:val="5DDE317F"/>
    <w:rsid w:val="5E2356B9"/>
    <w:rsid w:val="5E461439"/>
    <w:rsid w:val="5E48016C"/>
    <w:rsid w:val="5E4C4C10"/>
    <w:rsid w:val="5E710B1A"/>
    <w:rsid w:val="5E96232F"/>
    <w:rsid w:val="5EA44A4C"/>
    <w:rsid w:val="5EA46ED2"/>
    <w:rsid w:val="5EBA426F"/>
    <w:rsid w:val="5EE92E74"/>
    <w:rsid w:val="5F094F63"/>
    <w:rsid w:val="5F131BD1"/>
    <w:rsid w:val="5F741D0E"/>
    <w:rsid w:val="5FA647F3"/>
    <w:rsid w:val="5FBE1B3D"/>
    <w:rsid w:val="5FC133DB"/>
    <w:rsid w:val="5FC77826"/>
    <w:rsid w:val="60566219"/>
    <w:rsid w:val="60765F74"/>
    <w:rsid w:val="60C968BA"/>
    <w:rsid w:val="60EF5D26"/>
    <w:rsid w:val="61077514"/>
    <w:rsid w:val="61120392"/>
    <w:rsid w:val="614B11AE"/>
    <w:rsid w:val="617526CF"/>
    <w:rsid w:val="617D73CA"/>
    <w:rsid w:val="619C7C5C"/>
    <w:rsid w:val="61AB60F1"/>
    <w:rsid w:val="61EA6C19"/>
    <w:rsid w:val="61EC0F5C"/>
    <w:rsid w:val="61F47A98"/>
    <w:rsid w:val="620D2908"/>
    <w:rsid w:val="62165C60"/>
    <w:rsid w:val="62383F7C"/>
    <w:rsid w:val="62E278F0"/>
    <w:rsid w:val="633640E0"/>
    <w:rsid w:val="635602DE"/>
    <w:rsid w:val="638921CE"/>
    <w:rsid w:val="63A728E8"/>
    <w:rsid w:val="63BB4716"/>
    <w:rsid w:val="63C67212"/>
    <w:rsid w:val="63D96043"/>
    <w:rsid w:val="63FF2724"/>
    <w:rsid w:val="6401649C"/>
    <w:rsid w:val="64446389"/>
    <w:rsid w:val="64460353"/>
    <w:rsid w:val="644D348F"/>
    <w:rsid w:val="647A1DAB"/>
    <w:rsid w:val="649E3CEB"/>
    <w:rsid w:val="64AB3DAD"/>
    <w:rsid w:val="64D94D23"/>
    <w:rsid w:val="64E90FF9"/>
    <w:rsid w:val="64FE74DF"/>
    <w:rsid w:val="65A63103"/>
    <w:rsid w:val="65AB58C6"/>
    <w:rsid w:val="65AC068A"/>
    <w:rsid w:val="65B33908"/>
    <w:rsid w:val="65BF216B"/>
    <w:rsid w:val="65D200F0"/>
    <w:rsid w:val="65DC1F29"/>
    <w:rsid w:val="65E9543A"/>
    <w:rsid w:val="6608233F"/>
    <w:rsid w:val="660B774D"/>
    <w:rsid w:val="66286A3B"/>
    <w:rsid w:val="663568D1"/>
    <w:rsid w:val="6639016F"/>
    <w:rsid w:val="66547F5D"/>
    <w:rsid w:val="667434B9"/>
    <w:rsid w:val="66AA4BC9"/>
    <w:rsid w:val="66B818C3"/>
    <w:rsid w:val="66E2534E"/>
    <w:rsid w:val="670F7122"/>
    <w:rsid w:val="67317098"/>
    <w:rsid w:val="673821D5"/>
    <w:rsid w:val="675D1C3B"/>
    <w:rsid w:val="678278F4"/>
    <w:rsid w:val="678A0557"/>
    <w:rsid w:val="678C0773"/>
    <w:rsid w:val="67C021CA"/>
    <w:rsid w:val="683C3F47"/>
    <w:rsid w:val="683D381B"/>
    <w:rsid w:val="68767C36"/>
    <w:rsid w:val="68C63810"/>
    <w:rsid w:val="68E36170"/>
    <w:rsid w:val="68E72104"/>
    <w:rsid w:val="69124CA8"/>
    <w:rsid w:val="692A0243"/>
    <w:rsid w:val="69531548"/>
    <w:rsid w:val="695B03FD"/>
    <w:rsid w:val="69715CD7"/>
    <w:rsid w:val="69794D27"/>
    <w:rsid w:val="69D72179"/>
    <w:rsid w:val="69E93C5A"/>
    <w:rsid w:val="69F60125"/>
    <w:rsid w:val="6A164324"/>
    <w:rsid w:val="6A2B4273"/>
    <w:rsid w:val="6A2F749E"/>
    <w:rsid w:val="6A3F3984"/>
    <w:rsid w:val="6A8D0A8A"/>
    <w:rsid w:val="6AE2471E"/>
    <w:rsid w:val="6AF76473"/>
    <w:rsid w:val="6B040620"/>
    <w:rsid w:val="6B2875BB"/>
    <w:rsid w:val="6B38624C"/>
    <w:rsid w:val="6B4750DC"/>
    <w:rsid w:val="6B8C0D41"/>
    <w:rsid w:val="6BA8544F"/>
    <w:rsid w:val="6BAE515B"/>
    <w:rsid w:val="6BC95AF1"/>
    <w:rsid w:val="6BD149A6"/>
    <w:rsid w:val="6BD61FBC"/>
    <w:rsid w:val="6BE446D9"/>
    <w:rsid w:val="6BFA3F1C"/>
    <w:rsid w:val="6C00528B"/>
    <w:rsid w:val="6C0740C5"/>
    <w:rsid w:val="6C0905E4"/>
    <w:rsid w:val="6CC81390"/>
    <w:rsid w:val="6CCB5899"/>
    <w:rsid w:val="6CD7423E"/>
    <w:rsid w:val="6D0F39D8"/>
    <w:rsid w:val="6D1902BC"/>
    <w:rsid w:val="6D2356D5"/>
    <w:rsid w:val="6DC02F24"/>
    <w:rsid w:val="6DF40E20"/>
    <w:rsid w:val="6DFF1C9E"/>
    <w:rsid w:val="6E25722B"/>
    <w:rsid w:val="6E43779F"/>
    <w:rsid w:val="6E5B2C4D"/>
    <w:rsid w:val="6E70494A"/>
    <w:rsid w:val="6E7C32EF"/>
    <w:rsid w:val="6E8E4DD0"/>
    <w:rsid w:val="6E8F758B"/>
    <w:rsid w:val="6EDD3662"/>
    <w:rsid w:val="6F103A37"/>
    <w:rsid w:val="6F3516F0"/>
    <w:rsid w:val="6F3A0AB4"/>
    <w:rsid w:val="6F684A35"/>
    <w:rsid w:val="6F7513B8"/>
    <w:rsid w:val="6F7F4719"/>
    <w:rsid w:val="6F8561D3"/>
    <w:rsid w:val="6FA348AB"/>
    <w:rsid w:val="6FAD2F4E"/>
    <w:rsid w:val="6FE356B3"/>
    <w:rsid w:val="70495453"/>
    <w:rsid w:val="705067E1"/>
    <w:rsid w:val="7073427E"/>
    <w:rsid w:val="71015D2D"/>
    <w:rsid w:val="711772FF"/>
    <w:rsid w:val="71681909"/>
    <w:rsid w:val="716E2F67"/>
    <w:rsid w:val="71867FE1"/>
    <w:rsid w:val="718D3D6F"/>
    <w:rsid w:val="719170B1"/>
    <w:rsid w:val="71935F98"/>
    <w:rsid w:val="71973F9C"/>
    <w:rsid w:val="719A3A8C"/>
    <w:rsid w:val="71A010A2"/>
    <w:rsid w:val="71C72AD3"/>
    <w:rsid w:val="71DB5AAD"/>
    <w:rsid w:val="71F31B1A"/>
    <w:rsid w:val="720747E4"/>
    <w:rsid w:val="72192C03"/>
    <w:rsid w:val="721B4BCD"/>
    <w:rsid w:val="72273572"/>
    <w:rsid w:val="723E2B58"/>
    <w:rsid w:val="72671BC0"/>
    <w:rsid w:val="729A1F96"/>
    <w:rsid w:val="72CF6B75"/>
    <w:rsid w:val="72F378F8"/>
    <w:rsid w:val="734D6518"/>
    <w:rsid w:val="73797DFD"/>
    <w:rsid w:val="73A648A2"/>
    <w:rsid w:val="740B2A1F"/>
    <w:rsid w:val="74123DAE"/>
    <w:rsid w:val="74351FAF"/>
    <w:rsid w:val="745856FE"/>
    <w:rsid w:val="746A5998"/>
    <w:rsid w:val="749D5D6D"/>
    <w:rsid w:val="74B5547B"/>
    <w:rsid w:val="75002E19"/>
    <w:rsid w:val="750556C0"/>
    <w:rsid w:val="754D1541"/>
    <w:rsid w:val="75680129"/>
    <w:rsid w:val="757A7E5C"/>
    <w:rsid w:val="75812F99"/>
    <w:rsid w:val="75956A44"/>
    <w:rsid w:val="75BC66C7"/>
    <w:rsid w:val="75ED4AD2"/>
    <w:rsid w:val="75F644E0"/>
    <w:rsid w:val="76004806"/>
    <w:rsid w:val="762229CE"/>
    <w:rsid w:val="762F6B57"/>
    <w:rsid w:val="76375D4D"/>
    <w:rsid w:val="766C59F7"/>
    <w:rsid w:val="76757B8B"/>
    <w:rsid w:val="76A03375"/>
    <w:rsid w:val="76CD6562"/>
    <w:rsid w:val="76CF5F86"/>
    <w:rsid w:val="76EC08E6"/>
    <w:rsid w:val="77130FA0"/>
    <w:rsid w:val="77132317"/>
    <w:rsid w:val="771340C5"/>
    <w:rsid w:val="77400C32"/>
    <w:rsid w:val="77422BFC"/>
    <w:rsid w:val="774E77F3"/>
    <w:rsid w:val="77770AF7"/>
    <w:rsid w:val="7791148D"/>
    <w:rsid w:val="77B736C4"/>
    <w:rsid w:val="77CE4490"/>
    <w:rsid w:val="781D5C03"/>
    <w:rsid w:val="78AD0549"/>
    <w:rsid w:val="78B33DB1"/>
    <w:rsid w:val="78C0027C"/>
    <w:rsid w:val="78FF6FF6"/>
    <w:rsid w:val="791D122B"/>
    <w:rsid w:val="79426EE3"/>
    <w:rsid w:val="79646E59"/>
    <w:rsid w:val="797572B9"/>
    <w:rsid w:val="797D7F1B"/>
    <w:rsid w:val="79975481"/>
    <w:rsid w:val="79A77101"/>
    <w:rsid w:val="79B12C5F"/>
    <w:rsid w:val="79B576B5"/>
    <w:rsid w:val="79DF0BD6"/>
    <w:rsid w:val="7A0643B5"/>
    <w:rsid w:val="7A380F67"/>
    <w:rsid w:val="7A5A025C"/>
    <w:rsid w:val="7A7255A6"/>
    <w:rsid w:val="7A8F7F06"/>
    <w:rsid w:val="7A923E9A"/>
    <w:rsid w:val="7AAE3DDE"/>
    <w:rsid w:val="7AEB26B4"/>
    <w:rsid w:val="7AEC35AA"/>
    <w:rsid w:val="7B0B42C4"/>
    <w:rsid w:val="7B332F87"/>
    <w:rsid w:val="7B9A30C1"/>
    <w:rsid w:val="7B9F23CB"/>
    <w:rsid w:val="7BBF6307"/>
    <w:rsid w:val="7BC2430B"/>
    <w:rsid w:val="7BDC717B"/>
    <w:rsid w:val="7BE81FC4"/>
    <w:rsid w:val="7C521C74"/>
    <w:rsid w:val="7CC7607D"/>
    <w:rsid w:val="7CD60F5D"/>
    <w:rsid w:val="7D2B48E2"/>
    <w:rsid w:val="7D2D3A06"/>
    <w:rsid w:val="7D625DA6"/>
    <w:rsid w:val="7D6C20C7"/>
    <w:rsid w:val="7DA261A2"/>
    <w:rsid w:val="7DB639FC"/>
    <w:rsid w:val="7DC0487A"/>
    <w:rsid w:val="7DD10836"/>
    <w:rsid w:val="7DD722F0"/>
    <w:rsid w:val="7DF764EE"/>
    <w:rsid w:val="7E3C2153"/>
    <w:rsid w:val="7E3E411D"/>
    <w:rsid w:val="7E751B09"/>
    <w:rsid w:val="7E955D07"/>
    <w:rsid w:val="7EBA751C"/>
    <w:rsid w:val="7EE527EB"/>
    <w:rsid w:val="7F182BC0"/>
    <w:rsid w:val="7F587460"/>
    <w:rsid w:val="7F5A6A2A"/>
    <w:rsid w:val="7F5D6825"/>
    <w:rsid w:val="7F6851CA"/>
    <w:rsid w:val="7FB44126"/>
    <w:rsid w:val="7FDD7966"/>
    <w:rsid w:val="7FEB208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4"/>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3"/>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6"/>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0">
    <w:name w:val="Strong"/>
    <w:basedOn w:val="9"/>
    <w:qFormat/>
    <w:uiPriority w:val="22"/>
    <w:rPr>
      <w:b/>
    </w:rPr>
  </w:style>
  <w:style w:type="character" w:styleId="11">
    <w:name w:val="Hyperlink"/>
    <w:basedOn w:val="9"/>
    <w:unhideWhenUsed/>
    <w:uiPriority w:val="99"/>
    <w:rPr>
      <w:color w:val="0000FF" w:themeColor="hyperlink"/>
      <w:u w:val="single"/>
    </w:rPr>
  </w:style>
  <w:style w:type="character" w:styleId="12">
    <w:name w:val="annotation reference"/>
    <w:basedOn w:val="9"/>
    <w:semiHidden/>
    <w:unhideWhenUsed/>
    <w:qFormat/>
    <w:uiPriority w:val="99"/>
    <w:rPr>
      <w:sz w:val="21"/>
      <w:szCs w:val="21"/>
    </w:rPr>
  </w:style>
  <w:style w:type="character" w:customStyle="1" w:styleId="13">
    <w:name w:val="页眉 字符"/>
    <w:basedOn w:val="9"/>
    <w:link w:val="5"/>
    <w:qFormat/>
    <w:uiPriority w:val="99"/>
    <w:rPr>
      <w:sz w:val="18"/>
      <w:szCs w:val="18"/>
    </w:rPr>
  </w:style>
  <w:style w:type="character" w:customStyle="1" w:styleId="14">
    <w:name w:val="页脚 字符"/>
    <w:basedOn w:val="9"/>
    <w:link w:val="4"/>
    <w:qFormat/>
    <w:uiPriority w:val="99"/>
    <w:rPr>
      <w:sz w:val="18"/>
      <w:szCs w:val="18"/>
    </w:rPr>
  </w:style>
  <w:style w:type="character" w:customStyle="1" w:styleId="15">
    <w:name w:val="批注文字 字符"/>
    <w:basedOn w:val="9"/>
    <w:link w:val="2"/>
    <w:semiHidden/>
    <w:qFormat/>
    <w:uiPriority w:val="99"/>
    <w:rPr>
      <w:rFonts w:ascii="Calibri" w:hAnsi="Calibri" w:eastAsia="宋体" w:cs="Times New Roman"/>
      <w:kern w:val="2"/>
      <w:sz w:val="21"/>
      <w:szCs w:val="22"/>
    </w:rPr>
  </w:style>
  <w:style w:type="character" w:customStyle="1" w:styleId="16">
    <w:name w:val="批注主题 字符"/>
    <w:basedOn w:val="15"/>
    <w:link w:val="6"/>
    <w:semiHidden/>
    <w:qFormat/>
    <w:uiPriority w:val="99"/>
    <w:rPr>
      <w:rFonts w:ascii="Calibri" w:hAnsi="Calibri" w:eastAsia="宋体" w:cs="Times New Roman"/>
      <w:b/>
      <w:bCs/>
      <w:kern w:val="2"/>
      <w:sz w:val="21"/>
      <w:szCs w:val="22"/>
    </w:rPr>
  </w:style>
  <w:style w:type="character" w:customStyle="1" w:styleId="17">
    <w:name w:val="批注框文本 字符"/>
    <w:basedOn w:val="9"/>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F61FE-FAA9-411C-8AC9-3A8563EDB777}">
  <ds:schemaRefs/>
</ds:datastoreItem>
</file>

<file path=docProps/app.xml><?xml version="1.0" encoding="utf-8"?>
<Properties xmlns="http://schemas.openxmlformats.org/officeDocument/2006/extended-properties" xmlns:vt="http://schemas.openxmlformats.org/officeDocument/2006/docPropsVTypes">
  <Template>Normal</Template>
  <Pages>12</Pages>
  <Words>4042</Words>
  <Characters>4211</Characters>
  <Lines>32</Lines>
  <Paragraphs>9</Paragraphs>
  <TotalTime>49</TotalTime>
  <ScaleCrop>false</ScaleCrop>
  <LinksUpToDate>false</LinksUpToDate>
  <CharactersWithSpaces>4317</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2021-03-18T06:22:00Z</dcterms:created>
  <dc:creator>admin</dc:creator>
  <cp:lastModifiedBy>DELL-003</cp:lastModifiedBy>
  <cp:lastPrinted>2022-04-22T05:40:00Z</cp:lastPrinted>
  <dcterms:modified xsi:type="dcterms:W3CDTF">2022-04-22T09:54:15Z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AC508F7808E9405FA88F06844BEEB025</vt:lpwstr>
  </property>
  <property fmtid="{D5CDD505-2E9C-101B-9397-08002B2CF9AE}" pid="4" name="commondata">
    <vt:lpwstr>eyJoZGlkIjoiZWYzMzE1ZDk5MDg5MjM0ZGVkYjgzNWMxZWEzMGE2ZTMifQ==</vt:lpwstr>
  </property>
</Properties>
</file>